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6962" w14:textId="77777777" w:rsidR="003023FA" w:rsidRDefault="00D64666" w:rsidP="003153B0">
      <w:pPr>
        <w:rPr>
          <w:b/>
          <w:bCs/>
        </w:rPr>
      </w:pPr>
      <w:r>
        <w:rPr>
          <w:b/>
          <w:bCs/>
          <w:noProof/>
        </w:rPr>
        <w:drawing>
          <wp:anchor distT="0" distB="0" distL="114300" distR="114300" simplePos="0" relativeHeight="251658240" behindDoc="1" locked="0" layoutInCell="1" allowOverlap="1" wp14:anchorId="22C3CCBF" wp14:editId="4C927D66">
            <wp:simplePos x="0" y="0"/>
            <wp:positionH relativeFrom="column">
              <wp:posOffset>35169</wp:posOffset>
            </wp:positionH>
            <wp:positionV relativeFrom="paragraph">
              <wp:posOffset>8792</wp:posOffset>
            </wp:positionV>
            <wp:extent cx="1334770" cy="1388745"/>
            <wp:effectExtent l="0" t="0" r="0" b="0"/>
            <wp:wrapTight wrapText="bothSides">
              <wp:wrapPolygon edited="0">
                <wp:start x="0" y="0"/>
                <wp:lineTo x="0" y="21050"/>
                <wp:lineTo x="21042" y="21050"/>
                <wp:lineTo x="21042" y="0"/>
                <wp:lineTo x="0" y="0"/>
              </wp:wrapPolygon>
            </wp:wrapTight>
            <wp:docPr id="123421211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1211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4770" cy="1388745"/>
                    </a:xfrm>
                    <a:prstGeom prst="rect">
                      <a:avLst/>
                    </a:prstGeom>
                  </pic:spPr>
                </pic:pic>
              </a:graphicData>
            </a:graphic>
            <wp14:sizeRelH relativeFrom="margin">
              <wp14:pctWidth>0</wp14:pctWidth>
            </wp14:sizeRelH>
            <wp14:sizeRelV relativeFrom="margin">
              <wp14:pctHeight>0</wp14:pctHeight>
            </wp14:sizeRelV>
          </wp:anchor>
        </w:drawing>
      </w:r>
    </w:p>
    <w:p w14:paraId="65938AB3" w14:textId="77777777" w:rsidR="00CC2CEA" w:rsidRPr="00C76CBC" w:rsidRDefault="00CC2CEA" w:rsidP="007D6D3D">
      <w:pPr>
        <w:pStyle w:val="Heading1"/>
        <w:spacing w:before="0"/>
        <w:jc w:val="center"/>
        <w:rPr>
          <w:b/>
          <w:bCs/>
          <w:color w:val="auto"/>
          <w:sz w:val="36"/>
          <w:szCs w:val="36"/>
        </w:rPr>
      </w:pPr>
      <w:r w:rsidRPr="00C76CBC">
        <w:rPr>
          <w:b/>
          <w:bCs/>
          <w:color w:val="auto"/>
          <w:sz w:val="36"/>
          <w:szCs w:val="36"/>
        </w:rPr>
        <w:t>COMMUNITY DEVELOPMENT BLOCK GRANT</w:t>
      </w:r>
    </w:p>
    <w:p w14:paraId="683CD469" w14:textId="23895332" w:rsidR="002E7971" w:rsidRDefault="00CC2CEA" w:rsidP="007D6D3D">
      <w:pPr>
        <w:pStyle w:val="Heading1"/>
        <w:spacing w:before="0" w:line="240" w:lineRule="auto"/>
        <w:jc w:val="center"/>
        <w:rPr>
          <w:b/>
          <w:bCs/>
          <w:color w:val="auto"/>
          <w:sz w:val="36"/>
          <w:szCs w:val="36"/>
        </w:rPr>
      </w:pPr>
      <w:r w:rsidRPr="00771236">
        <w:rPr>
          <w:b/>
          <w:bCs/>
          <w:color w:val="auto"/>
          <w:sz w:val="36"/>
          <w:szCs w:val="36"/>
        </w:rPr>
        <w:t xml:space="preserve">EMERGENCY </w:t>
      </w:r>
      <w:r w:rsidR="0057061B">
        <w:rPr>
          <w:b/>
          <w:bCs/>
          <w:color w:val="auto"/>
          <w:sz w:val="36"/>
          <w:szCs w:val="36"/>
        </w:rPr>
        <w:t>REHABILITATION</w:t>
      </w:r>
      <w:r w:rsidRPr="00771236">
        <w:rPr>
          <w:b/>
          <w:bCs/>
          <w:color w:val="auto"/>
          <w:sz w:val="36"/>
          <w:szCs w:val="36"/>
        </w:rPr>
        <w:t xml:space="preserve"> PROGRAM GUIDELINES</w:t>
      </w:r>
    </w:p>
    <w:p w14:paraId="00ADB9C2" w14:textId="77777777" w:rsidR="003D06DD" w:rsidRPr="003D06DD" w:rsidRDefault="003D06DD" w:rsidP="003D06DD"/>
    <w:p w14:paraId="4EF3140E" w14:textId="77777777" w:rsidR="007D6D3D" w:rsidRDefault="007D6D3D" w:rsidP="003153B0">
      <w:pPr>
        <w:spacing w:after="0"/>
        <w:rPr>
          <w:b/>
          <w:bCs/>
          <w:sz w:val="32"/>
          <w:szCs w:val="34"/>
          <w:u w:val="single"/>
        </w:rPr>
      </w:pPr>
    </w:p>
    <w:p w14:paraId="23BBF363" w14:textId="40C8CA2D" w:rsidR="00176364" w:rsidRDefault="005E3168" w:rsidP="003153B0">
      <w:pPr>
        <w:spacing w:after="0"/>
        <w:rPr>
          <w:b/>
          <w:bCs/>
          <w:sz w:val="32"/>
          <w:szCs w:val="34"/>
          <w:u w:val="single"/>
        </w:rPr>
      </w:pPr>
      <w:r w:rsidRPr="00BD4D6A">
        <w:rPr>
          <w:b/>
          <w:bCs/>
          <w:sz w:val="32"/>
          <w:szCs w:val="34"/>
          <w:u w:val="single"/>
        </w:rPr>
        <w:t xml:space="preserve">The Emergency </w:t>
      </w:r>
      <w:r w:rsidR="0057061B">
        <w:rPr>
          <w:b/>
          <w:bCs/>
          <w:sz w:val="32"/>
          <w:szCs w:val="34"/>
          <w:u w:val="single"/>
        </w:rPr>
        <w:t>Rehabilitation</w:t>
      </w:r>
      <w:r w:rsidRPr="00BD4D6A">
        <w:rPr>
          <w:b/>
          <w:bCs/>
          <w:sz w:val="32"/>
          <w:szCs w:val="34"/>
          <w:u w:val="single"/>
        </w:rPr>
        <w:t xml:space="preserve"> Program (Emergency Program)</w:t>
      </w:r>
    </w:p>
    <w:p w14:paraId="7C74E15F" w14:textId="6872ECB0" w:rsidR="00962743" w:rsidRDefault="00962743" w:rsidP="003153B0">
      <w:pPr>
        <w:spacing w:after="0"/>
      </w:pPr>
      <w:r>
        <w:t xml:space="preserve">The Emergency </w:t>
      </w:r>
      <w:r w:rsidR="0057061B">
        <w:t>Rehabilitation</w:t>
      </w:r>
      <w:r>
        <w:t xml:space="preserve"> Program (or Emergency Program) </w:t>
      </w:r>
      <w:proofErr w:type="gramStart"/>
      <w:r>
        <w:t>provides assistance to</w:t>
      </w:r>
      <w:proofErr w:type="gramEnd"/>
      <w:r>
        <w:t xml:space="preserve"> homeowners in</w:t>
      </w:r>
      <w:r w:rsidR="005E053B">
        <w:t xml:space="preserve"> </w:t>
      </w:r>
      <w:r>
        <w:t>Mesa to perform emergency repairs to substandard housing conditions. Substandard conditions include</w:t>
      </w:r>
      <w:r w:rsidR="005E053B">
        <w:t xml:space="preserve"> </w:t>
      </w:r>
      <w:r>
        <w:t xml:space="preserve">those posing a serious threat to the health, safety or welfare of the household or affecting the immediate livability of the home. </w:t>
      </w:r>
    </w:p>
    <w:p w14:paraId="2AF6FF00" w14:textId="77777777" w:rsidR="00341A64" w:rsidRPr="005E053B" w:rsidRDefault="00341A64" w:rsidP="003153B0">
      <w:pPr>
        <w:spacing w:after="0"/>
      </w:pPr>
    </w:p>
    <w:p w14:paraId="60A15A12" w14:textId="7007633D" w:rsidR="00962743" w:rsidRDefault="00962743" w:rsidP="00962743">
      <w:r>
        <w:t xml:space="preserve">The level of assistance is limited solely to the amount required to address the specific emergency. The maximum amount of assistance per </w:t>
      </w:r>
      <w:proofErr w:type="gramStart"/>
      <w:r w:rsidR="009F2317">
        <w:t>household,</w:t>
      </w:r>
      <w:proofErr w:type="gramEnd"/>
      <w:r w:rsidR="009F2317">
        <w:t xml:space="preserve"> </w:t>
      </w:r>
      <w:r>
        <w:t xml:space="preserve">per </w:t>
      </w:r>
      <w:proofErr w:type="gramStart"/>
      <w:r w:rsidR="009F2317">
        <w:t>year,</w:t>
      </w:r>
      <w:proofErr w:type="gramEnd"/>
      <w:r w:rsidR="009F2317">
        <w:t xml:space="preserve"> </w:t>
      </w:r>
      <w:r w:rsidR="00A172B9">
        <w:t>can</w:t>
      </w:r>
      <w:r>
        <w:t xml:space="preserve">not exceed </w:t>
      </w:r>
      <w:r w:rsidRPr="00DE75AD">
        <w:t>$</w:t>
      </w:r>
      <w:r w:rsidR="00BD1908" w:rsidRPr="00DE75AD">
        <w:t>20</w:t>
      </w:r>
      <w:r w:rsidR="003F4985" w:rsidRPr="00DE75AD">
        <w:t>,</w:t>
      </w:r>
      <w:r w:rsidR="00435B2A" w:rsidRPr="00DE75AD">
        <w:t>0</w:t>
      </w:r>
      <w:r w:rsidRPr="00DE75AD">
        <w:t>00</w:t>
      </w:r>
      <w:r>
        <w:t xml:space="preserve">. </w:t>
      </w:r>
      <w:r w:rsidR="007E1029" w:rsidRPr="007E1029">
        <w:t>If the total cost of eligible expenses exceeds this maximum, the homeowner is responsible for covering any additional costs beyond the program's funding limit. The homeowner must secure and provide payment for these excess expenses before project completion to ensure compliance with program requirements.</w:t>
      </w:r>
    </w:p>
    <w:p w14:paraId="290951C9" w14:textId="4A73A348" w:rsidR="00176364" w:rsidRDefault="005A50CA" w:rsidP="00DE75AD">
      <w:pPr>
        <w:spacing w:after="0"/>
        <w:ind w:right="36"/>
        <w:rPr>
          <w:b/>
          <w:bCs/>
        </w:rPr>
      </w:pPr>
      <w:r w:rsidRPr="005E053B">
        <w:rPr>
          <w:b/>
          <w:bCs/>
        </w:rPr>
        <w:t>Emergency Program Operation</w:t>
      </w:r>
      <w:r w:rsidR="009F2317">
        <w:rPr>
          <w:b/>
          <w:bCs/>
        </w:rPr>
        <w:t>:</w:t>
      </w:r>
    </w:p>
    <w:p w14:paraId="65935F6A" w14:textId="4A4EEC2B" w:rsidR="005A50CA" w:rsidRDefault="005A50CA" w:rsidP="00DE75AD">
      <w:pPr>
        <w:spacing w:after="0"/>
        <w:ind w:right="36"/>
      </w:pPr>
      <w:r>
        <w:t xml:space="preserve">Eligible repairs and/or replacement shall be made to components that affect the immediate livability of the home, as determined by the Housing </w:t>
      </w:r>
      <w:r w:rsidR="0057061B">
        <w:t>Rehabilitation</w:t>
      </w:r>
      <w:r>
        <w:t xml:space="preserve"> Specialist. </w:t>
      </w:r>
      <w:r w:rsidR="009459CA" w:rsidRPr="009459CA">
        <w:t>The City reserves the right to implement seasonal prioritization of emergency repairs based on budget availability.</w:t>
      </w:r>
      <w:r w:rsidR="009459CA">
        <w:t xml:space="preserve"> </w:t>
      </w:r>
      <w:r>
        <w:t xml:space="preserve">Repairs and/or replacement </w:t>
      </w:r>
      <w:r w:rsidR="009222CB">
        <w:t>include</w:t>
      </w:r>
      <w:r w:rsidR="00CC7863">
        <w:t xml:space="preserve">, but are not limited to </w:t>
      </w:r>
      <w:r>
        <w:t xml:space="preserve">the following types of assistance: </w:t>
      </w:r>
    </w:p>
    <w:p w14:paraId="61C045B7" w14:textId="77777777" w:rsidR="00B112B0" w:rsidRDefault="00B112B0" w:rsidP="00B112B0">
      <w:pPr>
        <w:spacing w:after="0"/>
        <w:ind w:right="36"/>
      </w:pPr>
      <w:r>
        <w:t xml:space="preserve">Heating/Cooling systems: </w:t>
      </w:r>
    </w:p>
    <w:p w14:paraId="283F6003" w14:textId="77777777" w:rsidR="00B112B0" w:rsidRDefault="00B112B0" w:rsidP="00B112B0">
      <w:pPr>
        <w:numPr>
          <w:ilvl w:val="0"/>
          <w:numId w:val="1"/>
        </w:numPr>
        <w:spacing w:after="0" w:line="249" w:lineRule="auto"/>
        <w:ind w:left="360" w:right="36" w:hanging="361"/>
      </w:pPr>
      <w:r>
        <w:t xml:space="preserve">Lack of or inadequate heating or cooling (unit shall currently exist) </w:t>
      </w:r>
    </w:p>
    <w:p w14:paraId="22532776" w14:textId="77777777" w:rsidR="00EF492E" w:rsidRDefault="00EF492E" w:rsidP="00475068">
      <w:pPr>
        <w:spacing w:after="0"/>
        <w:ind w:right="36"/>
      </w:pPr>
    </w:p>
    <w:p w14:paraId="6B1DA192" w14:textId="77777777" w:rsidR="00475068" w:rsidRDefault="00475068" w:rsidP="00475068">
      <w:pPr>
        <w:spacing w:after="0"/>
        <w:ind w:right="36"/>
      </w:pPr>
      <w:r>
        <w:t xml:space="preserve">Plumbing systems: </w:t>
      </w:r>
    </w:p>
    <w:p w14:paraId="6ACC57B8" w14:textId="77777777" w:rsidR="00475068" w:rsidRDefault="00475068" w:rsidP="00475068">
      <w:pPr>
        <w:numPr>
          <w:ilvl w:val="0"/>
          <w:numId w:val="1"/>
        </w:numPr>
        <w:spacing w:after="0" w:line="249" w:lineRule="auto"/>
        <w:ind w:left="360" w:right="36" w:hanging="360"/>
      </w:pPr>
      <w:r>
        <w:t xml:space="preserve">Lack of hot and cold running water </w:t>
      </w:r>
    </w:p>
    <w:p w14:paraId="3C4E2D72" w14:textId="77777777" w:rsidR="00475068" w:rsidRDefault="00475068" w:rsidP="00475068">
      <w:pPr>
        <w:numPr>
          <w:ilvl w:val="0"/>
          <w:numId w:val="1"/>
        </w:numPr>
        <w:spacing w:after="0" w:line="249" w:lineRule="auto"/>
        <w:ind w:left="360" w:right="36" w:hanging="360"/>
      </w:pPr>
      <w:r>
        <w:t xml:space="preserve">Defective sewage system </w:t>
      </w:r>
    </w:p>
    <w:p w14:paraId="1E325525" w14:textId="77777777" w:rsidR="00475068" w:rsidRDefault="00475068" w:rsidP="00475068">
      <w:pPr>
        <w:numPr>
          <w:ilvl w:val="0"/>
          <w:numId w:val="1"/>
        </w:numPr>
        <w:spacing w:after="0" w:line="249" w:lineRule="auto"/>
        <w:ind w:left="360" w:right="36" w:hanging="360"/>
      </w:pPr>
      <w:r>
        <w:t xml:space="preserve">Leaking waterlines and gas lines or dangerous conditions in plumbing and gas systems </w:t>
      </w:r>
    </w:p>
    <w:p w14:paraId="0BF9210B" w14:textId="77777777" w:rsidR="00475068" w:rsidRDefault="00475068" w:rsidP="00475068">
      <w:pPr>
        <w:numPr>
          <w:ilvl w:val="0"/>
          <w:numId w:val="1"/>
        </w:numPr>
        <w:spacing w:after="0" w:line="249" w:lineRule="auto"/>
        <w:ind w:left="360" w:right="36" w:hanging="360"/>
      </w:pPr>
      <w:r>
        <w:t xml:space="preserve">Leaking or improperly functioning bathroom plumbing fixtures (toilets, sinks faucets, tubs/showers) </w:t>
      </w:r>
    </w:p>
    <w:p w14:paraId="6F756A1A" w14:textId="77777777" w:rsidR="00475068" w:rsidRDefault="00475068" w:rsidP="00475068">
      <w:pPr>
        <w:numPr>
          <w:ilvl w:val="0"/>
          <w:numId w:val="1"/>
        </w:numPr>
        <w:spacing w:after="0" w:line="249" w:lineRule="auto"/>
        <w:ind w:left="360" w:right="36" w:hanging="360"/>
      </w:pPr>
      <w:r>
        <w:t xml:space="preserve">Leaking or inoperable water heaters </w:t>
      </w:r>
    </w:p>
    <w:p w14:paraId="06744FC0" w14:textId="77777777" w:rsidR="00475068" w:rsidRDefault="00475068" w:rsidP="00475068">
      <w:pPr>
        <w:spacing w:after="0"/>
        <w:ind w:right="36"/>
      </w:pPr>
    </w:p>
    <w:p w14:paraId="3724263B" w14:textId="77777777" w:rsidR="00475068" w:rsidRDefault="00475068" w:rsidP="00475068">
      <w:pPr>
        <w:spacing w:after="0"/>
        <w:ind w:right="36"/>
      </w:pPr>
      <w:r>
        <w:t xml:space="preserve">Electrical systems: </w:t>
      </w:r>
    </w:p>
    <w:p w14:paraId="00DB8918" w14:textId="77777777" w:rsidR="00475068" w:rsidRDefault="00475068" w:rsidP="00475068">
      <w:pPr>
        <w:numPr>
          <w:ilvl w:val="0"/>
          <w:numId w:val="1"/>
        </w:numPr>
        <w:spacing w:after="0" w:line="249" w:lineRule="auto"/>
        <w:ind w:left="360" w:right="36" w:hanging="360"/>
      </w:pPr>
      <w:r>
        <w:t>Electrical hazards</w:t>
      </w:r>
    </w:p>
    <w:p w14:paraId="0127012A" w14:textId="77777777" w:rsidR="00475068" w:rsidRDefault="00475068" w:rsidP="00475068">
      <w:pPr>
        <w:numPr>
          <w:ilvl w:val="0"/>
          <w:numId w:val="1"/>
        </w:numPr>
        <w:spacing w:after="0" w:line="249" w:lineRule="auto"/>
        <w:ind w:left="360" w:right="36" w:hanging="360"/>
      </w:pPr>
      <w:r>
        <w:t>Exposed or dangerous electrical wiring and their interruption devices such as circuit breakers, fuses</w:t>
      </w:r>
    </w:p>
    <w:p w14:paraId="50645883" w14:textId="77777777" w:rsidR="003023FA" w:rsidRDefault="00475068" w:rsidP="001123E6">
      <w:pPr>
        <w:numPr>
          <w:ilvl w:val="0"/>
          <w:numId w:val="1"/>
        </w:numPr>
        <w:spacing w:after="0" w:line="249" w:lineRule="auto"/>
        <w:ind w:left="360" w:right="36" w:hanging="360"/>
      </w:pPr>
      <w:r>
        <w:t>Wiring that is not properly grounded and/or wiring that has a floating/open neutral</w:t>
      </w:r>
    </w:p>
    <w:p w14:paraId="29BEBE4B" w14:textId="77777777" w:rsidR="00DE75AD" w:rsidRDefault="00DE75AD" w:rsidP="003023FA">
      <w:pPr>
        <w:spacing w:after="0" w:line="249" w:lineRule="auto"/>
        <w:ind w:right="36"/>
      </w:pPr>
    </w:p>
    <w:p w14:paraId="2583BB5F" w14:textId="7200F4DD" w:rsidR="00475068" w:rsidRDefault="00475068" w:rsidP="003023FA">
      <w:pPr>
        <w:spacing w:after="0" w:line="249" w:lineRule="auto"/>
        <w:ind w:right="36"/>
      </w:pPr>
      <w:r>
        <w:t xml:space="preserve">Roofing: </w:t>
      </w:r>
    </w:p>
    <w:p w14:paraId="49B7E368" w14:textId="77777777" w:rsidR="002E7971" w:rsidRDefault="00475068" w:rsidP="00F97B7B">
      <w:pPr>
        <w:numPr>
          <w:ilvl w:val="0"/>
          <w:numId w:val="1"/>
        </w:numPr>
        <w:spacing w:after="0" w:line="249" w:lineRule="auto"/>
        <w:ind w:left="360" w:right="36" w:hanging="360"/>
      </w:pPr>
      <w:r>
        <w:t xml:space="preserve">Leaking systems </w:t>
      </w:r>
    </w:p>
    <w:p w14:paraId="2E9BF9F4" w14:textId="77777777" w:rsidR="00F97B7B" w:rsidRDefault="00475068" w:rsidP="00F97B7B">
      <w:pPr>
        <w:numPr>
          <w:ilvl w:val="0"/>
          <w:numId w:val="1"/>
        </w:numPr>
        <w:spacing w:after="0" w:line="249" w:lineRule="auto"/>
        <w:ind w:left="360" w:right="36" w:hanging="360"/>
      </w:pPr>
      <w:r>
        <w:lastRenderedPageBreak/>
        <w:t xml:space="preserve">Severely deteriorated and structurally dangerous </w:t>
      </w:r>
    </w:p>
    <w:p w14:paraId="30D0D212" w14:textId="77777777" w:rsidR="00A12BA5" w:rsidRDefault="00A12BA5" w:rsidP="00A12BA5">
      <w:pPr>
        <w:spacing w:after="0" w:line="249" w:lineRule="auto"/>
        <w:ind w:left="360" w:right="36"/>
      </w:pPr>
    </w:p>
    <w:p w14:paraId="5617BA81" w14:textId="77777777" w:rsidR="00475068" w:rsidRDefault="00475068" w:rsidP="00475068">
      <w:pPr>
        <w:spacing w:after="0"/>
        <w:ind w:right="36"/>
      </w:pPr>
      <w:r>
        <w:t xml:space="preserve">Carpentry: </w:t>
      </w:r>
    </w:p>
    <w:p w14:paraId="675AC904" w14:textId="77777777" w:rsidR="00475068" w:rsidRDefault="00475068" w:rsidP="00EF492E">
      <w:pPr>
        <w:numPr>
          <w:ilvl w:val="0"/>
          <w:numId w:val="1"/>
        </w:numPr>
        <w:spacing w:after="0" w:line="249" w:lineRule="auto"/>
        <w:ind w:left="360" w:right="36" w:hanging="360"/>
      </w:pPr>
      <w:r>
        <w:t xml:space="preserve">Inoperable door/window locks </w:t>
      </w:r>
    </w:p>
    <w:p w14:paraId="20DE9CB6" w14:textId="77777777" w:rsidR="00475068" w:rsidRDefault="00475068" w:rsidP="00EF492E">
      <w:pPr>
        <w:numPr>
          <w:ilvl w:val="0"/>
          <w:numId w:val="1"/>
        </w:numPr>
        <w:spacing w:after="0" w:line="249" w:lineRule="auto"/>
        <w:ind w:left="360" w:right="36" w:hanging="360"/>
      </w:pPr>
      <w:r>
        <w:t xml:space="preserve">Broken windows or inoperable exterior doors </w:t>
      </w:r>
    </w:p>
    <w:p w14:paraId="172EA812" w14:textId="2D6DC17F" w:rsidR="00475068" w:rsidRDefault="00475068" w:rsidP="00EF492E">
      <w:pPr>
        <w:numPr>
          <w:ilvl w:val="0"/>
          <w:numId w:val="1"/>
        </w:numPr>
        <w:spacing w:after="0" w:line="249" w:lineRule="auto"/>
        <w:ind w:left="360" w:right="36" w:hanging="360"/>
      </w:pPr>
      <w:r>
        <w:t>Structural deficiencies posing an immediate safety issue</w:t>
      </w:r>
      <w:r w:rsidR="004D62CF">
        <w:t>(s)</w:t>
      </w:r>
      <w:r>
        <w:t xml:space="preserve"> </w:t>
      </w:r>
    </w:p>
    <w:p w14:paraId="73F2659F" w14:textId="176D7288" w:rsidR="00176364" w:rsidRDefault="00475068" w:rsidP="00F97B7B">
      <w:pPr>
        <w:numPr>
          <w:ilvl w:val="0"/>
          <w:numId w:val="1"/>
        </w:numPr>
        <w:spacing w:after="0" w:line="249" w:lineRule="auto"/>
        <w:ind w:left="360" w:right="36" w:hanging="360"/>
      </w:pPr>
      <w:r>
        <w:t>Perimeter fences/</w:t>
      </w:r>
      <w:r w:rsidR="00CC7863">
        <w:t>Concrete Masonry Units (</w:t>
      </w:r>
      <w:r>
        <w:t>CMU</w:t>
      </w:r>
      <w:r w:rsidR="00CC7863">
        <w:t>)</w:t>
      </w:r>
      <w:r>
        <w:t xml:space="preserve"> block walls not in compliance with</w:t>
      </w:r>
      <w:r w:rsidR="00697B43">
        <w:t xml:space="preserve"> Mesa</w:t>
      </w:r>
      <w:r>
        <w:t xml:space="preserve"> City </w:t>
      </w:r>
      <w:r w:rsidR="00697B43">
        <w:t xml:space="preserve">Code </w:t>
      </w:r>
      <w:r w:rsidR="00697B43">
        <w:rPr>
          <w:rFonts w:cs="Calibri"/>
        </w:rPr>
        <w:t>§§</w:t>
      </w:r>
      <w:r w:rsidR="00697B43">
        <w:t xml:space="preserve"> </w:t>
      </w:r>
      <w:r>
        <w:t xml:space="preserve">9-5-2 and </w:t>
      </w:r>
      <w:r w:rsidR="00CC7863">
        <w:t xml:space="preserve">Title </w:t>
      </w:r>
      <w:r>
        <w:t>11</w:t>
      </w:r>
      <w:r w:rsidR="00CC7863">
        <w:t>, Chapter</w:t>
      </w:r>
      <w:r w:rsidR="00AB0235">
        <w:t xml:space="preserve"> </w:t>
      </w:r>
      <w:r>
        <w:t>30</w:t>
      </w:r>
    </w:p>
    <w:p w14:paraId="35316F9C" w14:textId="0B38ED52" w:rsidR="00F97B7B" w:rsidRDefault="00697B43" w:rsidP="00F97B7B">
      <w:pPr>
        <w:numPr>
          <w:ilvl w:val="0"/>
          <w:numId w:val="1"/>
        </w:numPr>
        <w:spacing w:after="0" w:line="249" w:lineRule="auto"/>
        <w:ind w:left="360" w:right="36" w:hanging="360"/>
      </w:pPr>
      <w:r>
        <w:t xml:space="preserve">Inoperable </w:t>
      </w:r>
      <w:r w:rsidR="00F97B7B">
        <w:t xml:space="preserve">Appliances (limited to cook tops, ranges, and refrigerators, dishwashers, undercabinet microwaves) </w:t>
      </w:r>
    </w:p>
    <w:p w14:paraId="6BCB2AB5" w14:textId="77777777" w:rsidR="00A12BA5" w:rsidRDefault="00A12BA5" w:rsidP="00A12BA5">
      <w:pPr>
        <w:spacing w:after="0" w:line="249" w:lineRule="auto"/>
        <w:ind w:right="36"/>
      </w:pPr>
    </w:p>
    <w:p w14:paraId="6C32566A" w14:textId="77777777" w:rsidR="00F97B7B" w:rsidRDefault="00F97B7B" w:rsidP="00EF492E">
      <w:pPr>
        <w:spacing w:after="0"/>
        <w:ind w:right="36"/>
      </w:pPr>
      <w:r>
        <w:t xml:space="preserve">Accessibility and/or Safety modifications (including but not limited to): </w:t>
      </w:r>
    </w:p>
    <w:p w14:paraId="622A19AA" w14:textId="77777777" w:rsidR="00F97B7B" w:rsidRDefault="00F97B7B" w:rsidP="00EF492E">
      <w:pPr>
        <w:numPr>
          <w:ilvl w:val="0"/>
          <w:numId w:val="1"/>
        </w:numPr>
        <w:spacing w:after="0" w:line="249" w:lineRule="auto"/>
        <w:ind w:left="360" w:right="36" w:hanging="360"/>
      </w:pPr>
      <w:r>
        <w:t xml:space="preserve">Wheelchair ramps, widening doorways to accommodate wheelchairs </w:t>
      </w:r>
    </w:p>
    <w:p w14:paraId="04278406" w14:textId="77777777" w:rsidR="00F97B7B" w:rsidRDefault="00F97B7B" w:rsidP="00EF492E">
      <w:pPr>
        <w:numPr>
          <w:ilvl w:val="0"/>
          <w:numId w:val="1"/>
        </w:numPr>
        <w:spacing w:after="0" w:line="249" w:lineRule="auto"/>
        <w:ind w:left="360" w:right="36" w:hanging="360"/>
      </w:pPr>
      <w:r>
        <w:t xml:space="preserve">Grab bars, railings, door hardware </w:t>
      </w:r>
    </w:p>
    <w:p w14:paraId="7B0097EB" w14:textId="77777777" w:rsidR="00F97B7B" w:rsidRDefault="00F97B7B" w:rsidP="00EF492E">
      <w:pPr>
        <w:numPr>
          <w:ilvl w:val="0"/>
          <w:numId w:val="1"/>
        </w:numPr>
        <w:spacing w:after="0" w:line="249" w:lineRule="auto"/>
        <w:ind w:left="360" w:right="36" w:hanging="360"/>
      </w:pPr>
      <w:r>
        <w:t xml:space="preserve">Bathtub/shower modifications </w:t>
      </w:r>
    </w:p>
    <w:p w14:paraId="60D105FC" w14:textId="77777777" w:rsidR="00F97B7B" w:rsidRDefault="00F97B7B" w:rsidP="00EF492E">
      <w:pPr>
        <w:numPr>
          <w:ilvl w:val="0"/>
          <w:numId w:val="1"/>
        </w:numPr>
        <w:spacing w:after="0" w:line="249" w:lineRule="auto"/>
        <w:ind w:left="360" w:right="36" w:hanging="360"/>
      </w:pPr>
      <w:r>
        <w:t>Co2 Smoke Detectors</w:t>
      </w:r>
    </w:p>
    <w:p w14:paraId="4DDF78E0" w14:textId="77777777" w:rsidR="00F97B7B" w:rsidRDefault="00F97B7B" w:rsidP="00EF492E">
      <w:pPr>
        <w:numPr>
          <w:ilvl w:val="0"/>
          <w:numId w:val="1"/>
        </w:numPr>
        <w:spacing w:after="0" w:line="249" w:lineRule="auto"/>
        <w:ind w:left="360" w:right="36" w:hanging="360"/>
      </w:pPr>
      <w:r>
        <w:t>Ergonomic ease of use devices such as door levers in lieu of doorknobs</w:t>
      </w:r>
    </w:p>
    <w:p w14:paraId="112D0B89" w14:textId="77777777" w:rsidR="00F97B7B" w:rsidRDefault="00F97B7B" w:rsidP="00F97B7B">
      <w:pPr>
        <w:numPr>
          <w:ilvl w:val="0"/>
          <w:numId w:val="1"/>
        </w:numPr>
        <w:spacing w:after="0" w:line="249" w:lineRule="auto"/>
        <w:ind w:left="360" w:right="36" w:hanging="360"/>
      </w:pPr>
      <w:r>
        <w:t>Security such as security screen door</w:t>
      </w:r>
    </w:p>
    <w:p w14:paraId="0820384D" w14:textId="77777777" w:rsidR="00A12BA5" w:rsidRDefault="00A12BA5" w:rsidP="00DE75AD">
      <w:pPr>
        <w:spacing w:after="0" w:line="249" w:lineRule="auto"/>
        <w:ind w:right="36"/>
      </w:pPr>
    </w:p>
    <w:p w14:paraId="571C97EC" w14:textId="77777777" w:rsidR="00F97B7B" w:rsidRDefault="00F97B7B" w:rsidP="00DE75AD">
      <w:pPr>
        <w:spacing w:after="0"/>
        <w:ind w:right="36"/>
        <w:jc w:val="both"/>
      </w:pPr>
      <w:r>
        <w:t>Energy efficiency</w:t>
      </w:r>
    </w:p>
    <w:p w14:paraId="7EFD0A2E" w14:textId="77777777" w:rsidR="00F97B7B" w:rsidRDefault="00F97B7B" w:rsidP="00DE75AD">
      <w:pPr>
        <w:numPr>
          <w:ilvl w:val="0"/>
          <w:numId w:val="1"/>
        </w:numPr>
        <w:spacing w:after="0" w:line="249" w:lineRule="auto"/>
        <w:ind w:left="360" w:right="36" w:hanging="360"/>
      </w:pPr>
      <w:r>
        <w:t>LED lighting</w:t>
      </w:r>
    </w:p>
    <w:p w14:paraId="4C7C718F" w14:textId="77777777" w:rsidR="00F97B7B" w:rsidRDefault="00F97B7B" w:rsidP="00DE75AD">
      <w:pPr>
        <w:numPr>
          <w:ilvl w:val="0"/>
          <w:numId w:val="1"/>
        </w:numPr>
        <w:spacing w:after="0" w:line="249" w:lineRule="auto"/>
        <w:ind w:left="360" w:right="36" w:hanging="360"/>
      </w:pPr>
      <w:r>
        <w:t>Ceiling Fans</w:t>
      </w:r>
    </w:p>
    <w:p w14:paraId="5D1D55B0" w14:textId="2C91D35C" w:rsidR="00F97B7B" w:rsidRDefault="00F97B7B" w:rsidP="00EF492E">
      <w:pPr>
        <w:numPr>
          <w:ilvl w:val="0"/>
          <w:numId w:val="1"/>
        </w:numPr>
        <w:spacing w:after="0" w:line="249" w:lineRule="auto"/>
        <w:ind w:left="360" w:right="36" w:hanging="360"/>
      </w:pPr>
      <w:r>
        <w:t xml:space="preserve">Dual glazed systems Low E Argon Gas i.e., windows, exterior sliding glass </w:t>
      </w:r>
      <w:r w:rsidR="00BD1908">
        <w:t>doors</w:t>
      </w:r>
    </w:p>
    <w:p w14:paraId="496D1981" w14:textId="77777777" w:rsidR="00F97B7B" w:rsidRDefault="00F97B7B" w:rsidP="00EF492E">
      <w:pPr>
        <w:numPr>
          <w:ilvl w:val="0"/>
          <w:numId w:val="1"/>
        </w:numPr>
        <w:spacing w:after="0" w:line="249" w:lineRule="auto"/>
        <w:ind w:left="360" w:right="36" w:hanging="360"/>
      </w:pPr>
      <w:r>
        <w:t xml:space="preserve">Insulation systems such as attic, roof, subfloors. i.e., </w:t>
      </w:r>
      <w:proofErr w:type="gramStart"/>
      <w:r>
        <w:t>batt</w:t>
      </w:r>
      <w:proofErr w:type="gramEnd"/>
      <w:r>
        <w:t>, sprayed, rigid foam</w:t>
      </w:r>
    </w:p>
    <w:p w14:paraId="79783829" w14:textId="77777777" w:rsidR="00F97B7B" w:rsidRDefault="00F97B7B" w:rsidP="00EF492E">
      <w:pPr>
        <w:numPr>
          <w:ilvl w:val="0"/>
          <w:numId w:val="1"/>
        </w:numPr>
        <w:spacing w:after="0" w:line="249" w:lineRule="auto"/>
        <w:ind w:left="360" w:right="36" w:hanging="360"/>
      </w:pPr>
      <w:r>
        <w:t>Weather stripping systems at exterior doorways</w:t>
      </w:r>
    </w:p>
    <w:p w14:paraId="140F75FB" w14:textId="77777777" w:rsidR="001123E6" w:rsidRDefault="001123E6" w:rsidP="001123E6">
      <w:pPr>
        <w:spacing w:after="0" w:line="249" w:lineRule="auto"/>
        <w:ind w:right="36"/>
      </w:pPr>
    </w:p>
    <w:p w14:paraId="302DE60B" w14:textId="514BD287" w:rsidR="00DB102E" w:rsidRPr="003153B0" w:rsidRDefault="00831BFE" w:rsidP="009F2317">
      <w:pPr>
        <w:spacing w:after="111"/>
        <w:ind w:right="36"/>
        <w:rPr>
          <w:b/>
          <w:bCs/>
        </w:rPr>
      </w:pPr>
      <w:r w:rsidRPr="003153B0">
        <w:rPr>
          <w:b/>
          <w:bCs/>
        </w:rPr>
        <w:t>Application Pro</w:t>
      </w:r>
      <w:r w:rsidR="00DB102E" w:rsidRPr="003153B0">
        <w:rPr>
          <w:b/>
          <w:bCs/>
        </w:rPr>
        <w:t>c</w:t>
      </w:r>
      <w:r w:rsidRPr="003153B0">
        <w:rPr>
          <w:b/>
          <w:bCs/>
        </w:rPr>
        <w:t>ess</w:t>
      </w:r>
      <w:r w:rsidR="009F2317">
        <w:rPr>
          <w:b/>
          <w:bCs/>
        </w:rPr>
        <w:t>:</w:t>
      </w:r>
    </w:p>
    <w:p w14:paraId="0E86E097" w14:textId="77777777" w:rsidR="009F2317" w:rsidRDefault="00DB102E" w:rsidP="009F2317">
      <w:pPr>
        <w:pStyle w:val="ListParagraph"/>
        <w:numPr>
          <w:ilvl w:val="0"/>
          <w:numId w:val="4"/>
        </w:numPr>
        <w:spacing w:after="0"/>
        <w:ind w:left="360"/>
        <w:rPr>
          <w:i/>
          <w:iCs/>
        </w:rPr>
      </w:pPr>
      <w:r w:rsidRPr="00CA2430">
        <w:rPr>
          <w:i/>
          <w:iCs/>
        </w:rPr>
        <w:t xml:space="preserve">Request for </w:t>
      </w:r>
      <w:r w:rsidR="00CA2430">
        <w:rPr>
          <w:i/>
          <w:iCs/>
        </w:rPr>
        <w:t>A</w:t>
      </w:r>
      <w:r w:rsidRPr="00CA2430">
        <w:rPr>
          <w:i/>
          <w:iCs/>
        </w:rPr>
        <w:t xml:space="preserve">pplication </w:t>
      </w:r>
      <w:r w:rsidR="009F2317">
        <w:rPr>
          <w:i/>
          <w:iCs/>
        </w:rPr>
        <w:tab/>
      </w:r>
      <w:r w:rsidR="009F2317">
        <w:rPr>
          <w:i/>
          <w:iCs/>
        </w:rPr>
        <w:tab/>
      </w:r>
      <w:r w:rsidR="009F2317">
        <w:rPr>
          <w:i/>
          <w:iCs/>
        </w:rPr>
        <w:tab/>
      </w:r>
      <w:r w:rsidR="009F2317">
        <w:rPr>
          <w:i/>
          <w:iCs/>
        </w:rPr>
        <w:tab/>
      </w:r>
      <w:r w:rsidR="009F2317">
        <w:rPr>
          <w:i/>
          <w:iCs/>
        </w:rPr>
        <w:tab/>
      </w:r>
      <w:r w:rsidR="009F2317">
        <w:rPr>
          <w:i/>
          <w:iCs/>
        </w:rPr>
        <w:tab/>
      </w:r>
      <w:r w:rsidR="009F2317">
        <w:rPr>
          <w:i/>
          <w:iCs/>
        </w:rPr>
        <w:tab/>
      </w:r>
      <w:r w:rsidR="009F2317">
        <w:rPr>
          <w:i/>
          <w:iCs/>
        </w:rPr>
        <w:tab/>
      </w:r>
    </w:p>
    <w:p w14:paraId="627F71D3" w14:textId="265E819D" w:rsidR="003B7B1C" w:rsidRPr="009F2317" w:rsidRDefault="003B7B1C" w:rsidP="009F2317">
      <w:pPr>
        <w:spacing w:after="0"/>
        <w:rPr>
          <w:i/>
          <w:iCs/>
        </w:rPr>
      </w:pPr>
      <w:r>
        <w:t xml:space="preserve">Homeowners requesting assistance shall request an Emergency </w:t>
      </w:r>
      <w:r w:rsidR="0057061B">
        <w:t xml:space="preserve">Rehabilitation </w:t>
      </w:r>
      <w:r>
        <w:t xml:space="preserve">Program Application packet through the City’s </w:t>
      </w:r>
      <w:r w:rsidR="00DB0F7E">
        <w:t>Housing &amp; Community Development</w:t>
      </w:r>
      <w:r>
        <w:t xml:space="preserve"> by submitting an interest form online at </w:t>
      </w:r>
      <w:hyperlink r:id="rId9" w:history="1">
        <w:r w:rsidRPr="00676ED8">
          <w:rPr>
            <w:rStyle w:val="Hyperlink"/>
          </w:rPr>
          <w:t>https://www.mesaaz.gov/residents/community-development/repair-my-home</w:t>
        </w:r>
      </w:hyperlink>
      <w:r>
        <w:t xml:space="preserve"> or by calling 480-644-3208. The application packet will include a cover letter explaining the assistance process, a Required Documentation Checklist, and Application. </w:t>
      </w:r>
    </w:p>
    <w:p w14:paraId="4E3E9321" w14:textId="57AD9BB6" w:rsidR="003B7B1C" w:rsidRDefault="003B7B1C" w:rsidP="003B7B1C">
      <w:pPr>
        <w:ind w:right="36"/>
      </w:pPr>
      <w:r>
        <w:t xml:space="preserve">The completed application shall be returned to the </w:t>
      </w:r>
      <w:r w:rsidR="00DB0F7E">
        <w:t>Housing &amp; Community Development</w:t>
      </w:r>
      <w:r>
        <w:t xml:space="preserve"> Office with copies of the required documentation, as indicated in the Required Documentation Checklist.</w:t>
      </w:r>
    </w:p>
    <w:p w14:paraId="519F2CE8" w14:textId="77777777" w:rsidR="003B7B1C" w:rsidRDefault="003B7B1C" w:rsidP="003B7B1C">
      <w:pPr>
        <w:ind w:right="36"/>
      </w:pPr>
      <w:r>
        <w:t xml:space="preserve">Assistance shall not be considered to those applicants whose applications are either: </w:t>
      </w:r>
    </w:p>
    <w:p w14:paraId="2CC1F3BC" w14:textId="77777777" w:rsidR="00681FB4" w:rsidRDefault="003B7B1C" w:rsidP="00DE75AD">
      <w:pPr>
        <w:spacing w:after="0"/>
        <w:ind w:right="36"/>
      </w:pPr>
      <w:r>
        <w:t xml:space="preserve">1) incomplete; or </w:t>
      </w:r>
    </w:p>
    <w:p w14:paraId="31E52561" w14:textId="77777777" w:rsidR="00681FB4" w:rsidRDefault="003B7B1C" w:rsidP="00DE75AD">
      <w:pPr>
        <w:spacing w:after="0"/>
        <w:ind w:right="36"/>
      </w:pPr>
      <w:r>
        <w:t xml:space="preserve">2) all required income and homeownership documentation has not been submitted. </w:t>
      </w:r>
    </w:p>
    <w:p w14:paraId="628AAAE7" w14:textId="27B04F76" w:rsidR="003B7B1C" w:rsidRDefault="003B7B1C" w:rsidP="003B7B1C">
      <w:pPr>
        <w:ind w:right="36"/>
      </w:pPr>
      <w:r>
        <w:t xml:space="preserve">Homeowners shall be notified that their applications shall not be considered, and assistance may not be granted until the requested information has been received.  </w:t>
      </w:r>
    </w:p>
    <w:p w14:paraId="109F8FF4" w14:textId="77777777" w:rsidR="00DE75AD" w:rsidRDefault="003B7B1C" w:rsidP="00DE75AD">
      <w:pPr>
        <w:spacing w:after="0"/>
        <w:ind w:right="36"/>
      </w:pPr>
      <w:r>
        <w:t xml:space="preserve">The City’s Housing </w:t>
      </w:r>
      <w:r w:rsidR="0057061B">
        <w:t>Rehabilitation</w:t>
      </w:r>
      <w:r>
        <w:t xml:space="preserve"> Specialist shall review the request(s) for emergency assistance and shall determine the eligibility of</w:t>
      </w:r>
      <w:r w:rsidR="00697B43">
        <w:t xml:space="preserve"> the </w:t>
      </w:r>
      <w:r w:rsidR="00BD1908">
        <w:t>applicant,</w:t>
      </w:r>
      <w:r w:rsidR="00697B43">
        <w:t xml:space="preserve"> and</w:t>
      </w:r>
      <w:r>
        <w:t xml:space="preserve"> the repairs/replacement requested. </w:t>
      </w:r>
      <w:r w:rsidR="0023246A" w:rsidRPr="00DE75AD">
        <w:t>To determine eligibility for the program, applicants must submit all required documentation. In cases where additional time is needed to submit documentation, a maximum of two extensions may be granted.  The first extension may be granted for up to 14 calendar days. A second and final extension may be granted for up to 7</w:t>
      </w:r>
      <w:r w:rsidR="0023246A" w:rsidRPr="00DE75AD">
        <w:rPr>
          <w:b/>
          <w:bCs/>
        </w:rPr>
        <w:t xml:space="preserve"> </w:t>
      </w:r>
      <w:r w:rsidR="0023246A" w:rsidRPr="00DE75AD">
        <w:t xml:space="preserve">additional calendar days. If the required documentation is not submitted within the timeframes allowed, the file will be </w:t>
      </w:r>
      <w:r w:rsidR="00DE75AD" w:rsidRPr="00DE75AD">
        <w:t xml:space="preserve">denied and </w:t>
      </w:r>
      <w:r w:rsidR="0023246A" w:rsidRPr="00DE75AD">
        <w:t xml:space="preserve">formally closed. Applicants will receive written notification of the </w:t>
      </w:r>
      <w:r w:rsidR="00DE75AD" w:rsidRPr="00DE75AD">
        <w:t xml:space="preserve">denial and </w:t>
      </w:r>
      <w:r w:rsidR="0023246A" w:rsidRPr="00DE75AD">
        <w:t>file closure, and the program will proceed with assisting other applicants.</w:t>
      </w:r>
      <w:r w:rsidR="004D07F4" w:rsidRPr="004D07F4">
        <w:t xml:space="preserve"> </w:t>
      </w:r>
      <w:r w:rsidR="004D07F4" w:rsidRPr="00DE75AD">
        <w:t>If an application is denied, the applicant may not be eligible to reapply for six (6) months from the date of denial.</w:t>
      </w:r>
    </w:p>
    <w:p w14:paraId="56E94B92" w14:textId="77777777" w:rsidR="00DE75AD" w:rsidRDefault="00DE75AD" w:rsidP="00DE75AD">
      <w:pPr>
        <w:spacing w:after="0"/>
        <w:ind w:right="36"/>
      </w:pPr>
    </w:p>
    <w:p w14:paraId="1E2E19BA" w14:textId="5462371E" w:rsidR="003B7B1C" w:rsidRDefault="003B7B1C" w:rsidP="00DE75AD">
      <w:pPr>
        <w:spacing w:after="0"/>
        <w:ind w:right="36"/>
      </w:pPr>
      <w:r>
        <w:t>T</w:t>
      </w:r>
      <w:r w:rsidRPr="00857BF0">
        <w:t xml:space="preserve">here are special requirements for City employees, elected </w:t>
      </w:r>
      <w:r w:rsidR="00FD0871" w:rsidRPr="00857BF0">
        <w:t>officials,</w:t>
      </w:r>
      <w:r w:rsidRPr="00857BF0">
        <w:t xml:space="preserve"> and their relatives and for non-profit </w:t>
      </w:r>
      <w:r w:rsidR="0057061B">
        <w:t>Rehabilitation</w:t>
      </w:r>
      <w:r w:rsidRPr="00857BF0">
        <w:t xml:space="preserve"> providers and their relatives. These requirements, which relate to conflicts of interest, include making public disclosure, obtaining a ruling by the City </w:t>
      </w:r>
      <w:r w:rsidR="00FD0871" w:rsidRPr="00857BF0">
        <w:t>Attorney,</w:t>
      </w:r>
      <w:r w:rsidRPr="00857BF0">
        <w:t xml:space="preserve"> and submitting materials for review by HUD. In all cases where an apparent conflict of interest exists, HUD will make a finding regarding the eligibility of the applicant. Assistance shall not be granted unless approved by HUD. The conflict-of-interest process may add, at </w:t>
      </w:r>
      <w:proofErr w:type="gramStart"/>
      <w:r w:rsidRPr="00857BF0">
        <w:t>minimum</w:t>
      </w:r>
      <w:proofErr w:type="gramEnd"/>
      <w:r w:rsidRPr="00857BF0">
        <w:t>, forty-five (45) days to the eligibility process</w:t>
      </w:r>
      <w:r>
        <w:t>.</w:t>
      </w:r>
    </w:p>
    <w:p w14:paraId="0CE1BF31" w14:textId="77777777" w:rsidR="00DE75AD" w:rsidRDefault="00DE75AD" w:rsidP="00DE75AD">
      <w:pPr>
        <w:spacing w:after="0"/>
        <w:ind w:right="36"/>
      </w:pPr>
    </w:p>
    <w:p w14:paraId="0D555E17" w14:textId="77777777" w:rsidR="009F2317" w:rsidRDefault="00CA2430" w:rsidP="009F2317">
      <w:pPr>
        <w:pStyle w:val="ListParagraph"/>
        <w:numPr>
          <w:ilvl w:val="0"/>
          <w:numId w:val="4"/>
        </w:numPr>
        <w:spacing w:after="0"/>
        <w:ind w:left="360"/>
        <w:rPr>
          <w:i/>
          <w:iCs/>
        </w:rPr>
      </w:pPr>
      <w:r w:rsidRPr="00CA2430">
        <w:rPr>
          <w:i/>
          <w:iCs/>
        </w:rPr>
        <w:t xml:space="preserve">Processing </w:t>
      </w:r>
      <w:r>
        <w:rPr>
          <w:i/>
          <w:iCs/>
        </w:rPr>
        <w:t>of Application</w:t>
      </w:r>
    </w:p>
    <w:p w14:paraId="5F9DED88" w14:textId="4EAE3C8A" w:rsidR="00052CAA" w:rsidRDefault="00052CAA" w:rsidP="009F2317">
      <w:pPr>
        <w:spacing w:after="0"/>
      </w:pPr>
      <w:r>
        <w:t xml:space="preserve">Upon receipt of application and all required documentation, a Housing </w:t>
      </w:r>
      <w:r w:rsidR="0057061B">
        <w:t>Rehabilitation</w:t>
      </w:r>
      <w:r>
        <w:t xml:space="preserve"> Specialist shall review the documents. All applications will be evaluated based on</w:t>
      </w:r>
      <w:r w:rsidR="00AB0235">
        <w:t xml:space="preserve"> </w:t>
      </w:r>
      <w:r w:rsidR="00AB0235" w:rsidRPr="00AB0235">
        <w:t>the order in which completed applications are received</w:t>
      </w:r>
      <w:r w:rsidR="00296E23">
        <w:t xml:space="preserve"> a</w:t>
      </w:r>
      <w:r>
        <w:t xml:space="preserve">nd shall include (at minimum): </w:t>
      </w:r>
    </w:p>
    <w:p w14:paraId="539C89A9" w14:textId="77777777" w:rsidR="0023246A" w:rsidRPr="009F2317" w:rsidRDefault="0023246A" w:rsidP="009F2317">
      <w:pPr>
        <w:spacing w:after="0"/>
        <w:rPr>
          <w:i/>
          <w:iCs/>
        </w:rPr>
      </w:pPr>
    </w:p>
    <w:p w14:paraId="48AE5CA3" w14:textId="77777777" w:rsidR="00052CAA" w:rsidRDefault="00052CAA" w:rsidP="00052CAA">
      <w:pPr>
        <w:numPr>
          <w:ilvl w:val="0"/>
          <w:numId w:val="5"/>
        </w:numPr>
        <w:spacing w:after="5" w:line="249" w:lineRule="auto"/>
        <w:ind w:right="36" w:hanging="362"/>
      </w:pPr>
      <w:r>
        <w:t>Homeowner’s Application</w:t>
      </w:r>
      <w:r>
        <w:rPr>
          <w:rFonts w:ascii="Segoe UI Symbol" w:eastAsia="Segoe UI Symbol" w:hAnsi="Segoe UI Symbol" w:cs="Segoe UI Symbol"/>
        </w:rPr>
        <w:t xml:space="preserve"> </w:t>
      </w:r>
    </w:p>
    <w:p w14:paraId="6424B812" w14:textId="77777777" w:rsidR="00052CAA" w:rsidRDefault="00052CAA" w:rsidP="00052CAA">
      <w:pPr>
        <w:numPr>
          <w:ilvl w:val="0"/>
          <w:numId w:val="5"/>
        </w:numPr>
        <w:spacing w:after="5" w:line="249" w:lineRule="auto"/>
        <w:ind w:right="36" w:hanging="362"/>
      </w:pPr>
      <w:r>
        <w:t>Maricopa County Recorder’s Office ownership and property tax information</w:t>
      </w:r>
      <w:r>
        <w:rPr>
          <w:rFonts w:ascii="Segoe UI Symbol" w:eastAsia="Segoe UI Symbol" w:hAnsi="Segoe UI Symbol" w:cs="Segoe UI Symbol"/>
        </w:rPr>
        <w:t xml:space="preserve"> </w:t>
      </w:r>
    </w:p>
    <w:p w14:paraId="48B62F8A" w14:textId="77777777" w:rsidR="00052CAA" w:rsidRDefault="00052CAA" w:rsidP="00052CAA">
      <w:pPr>
        <w:numPr>
          <w:ilvl w:val="0"/>
          <w:numId w:val="5"/>
        </w:numPr>
        <w:spacing w:after="5" w:line="249" w:lineRule="auto"/>
        <w:ind w:right="36" w:hanging="362"/>
      </w:pPr>
      <w:r>
        <w:t>Financial and ownership documents as provided by applicant</w:t>
      </w:r>
      <w:r>
        <w:rPr>
          <w:rFonts w:ascii="Segoe UI Symbol" w:eastAsia="Segoe UI Symbol" w:hAnsi="Segoe UI Symbol" w:cs="Segoe UI Symbol"/>
        </w:rPr>
        <w:t xml:space="preserve"> </w:t>
      </w:r>
    </w:p>
    <w:p w14:paraId="104AA876" w14:textId="6CD4E6A9" w:rsidR="00052CAA" w:rsidRDefault="00052CAA" w:rsidP="00052CAA">
      <w:pPr>
        <w:numPr>
          <w:ilvl w:val="0"/>
          <w:numId w:val="5"/>
        </w:numPr>
        <w:spacing w:after="5" w:line="249" w:lineRule="auto"/>
        <w:ind w:right="36" w:hanging="362"/>
      </w:pPr>
      <w:r>
        <w:t xml:space="preserve">Additional information necessary as determined by the City’s Housing </w:t>
      </w:r>
      <w:r w:rsidR="0057061B">
        <w:t>Rehabilitation</w:t>
      </w:r>
      <w:r>
        <w:t xml:space="preserve"> Specialist</w:t>
      </w:r>
      <w:r>
        <w:rPr>
          <w:rFonts w:ascii="Segoe UI Symbol" w:eastAsia="Segoe UI Symbol" w:hAnsi="Segoe UI Symbol" w:cs="Segoe UI Symbol"/>
        </w:rPr>
        <w:t xml:space="preserve"> </w:t>
      </w:r>
    </w:p>
    <w:p w14:paraId="1B2D7CDA" w14:textId="77777777" w:rsidR="00052CAA" w:rsidRDefault="00052CAA" w:rsidP="00052CAA">
      <w:pPr>
        <w:spacing w:after="0"/>
        <w:ind w:left="865"/>
      </w:pPr>
      <w:r>
        <w:rPr>
          <w:rFonts w:ascii="Segoe UI Symbol" w:eastAsia="Segoe UI Symbol" w:hAnsi="Segoe UI Symbol" w:cs="Segoe UI Symbol"/>
        </w:rPr>
        <w:t xml:space="preserve"> </w:t>
      </w:r>
    </w:p>
    <w:p w14:paraId="3B1B83B3" w14:textId="610AC12C" w:rsidR="00052CAA" w:rsidRDefault="00052CAA" w:rsidP="00052CAA">
      <w:pPr>
        <w:ind w:right="36"/>
      </w:pPr>
      <w:r>
        <w:t xml:space="preserve">A Housing </w:t>
      </w:r>
      <w:r w:rsidR="0057061B">
        <w:t>Rehabilitation</w:t>
      </w:r>
      <w:r>
        <w:t xml:space="preserve"> Specialist will review the applicant’s income and homeownership information to determine client’s eligibility (or ineligibility). Applicants must have owned and lived in their Mesa home as their primary residence for the preceding year immediately prior to applying and being qualified for participation in the program. </w:t>
      </w:r>
    </w:p>
    <w:p w14:paraId="29982EF7" w14:textId="6B44FB05" w:rsidR="00052CAA" w:rsidRDefault="00052CAA" w:rsidP="00052CAA">
      <w:pPr>
        <w:ind w:right="36"/>
      </w:pPr>
      <w:r>
        <w:t xml:space="preserve">The applicant’s income shall be calculated to determine the total gross household income for the upcoming twelve (12) months. Determination of income eligibility shall be in accordance with the HUD </w:t>
      </w:r>
      <w:r w:rsidR="0041762F">
        <w:t>CDBG I</w:t>
      </w:r>
      <w:r>
        <w:t xml:space="preserve">ncome </w:t>
      </w:r>
      <w:r w:rsidR="0041762F">
        <w:t>G</w:t>
      </w:r>
      <w:r>
        <w:t xml:space="preserve">uidelines. If determined ineligible or the application is deemed incomplete, applicants may re-apply six (6) months after the determination of ineligibility. </w:t>
      </w:r>
    </w:p>
    <w:p w14:paraId="4E4E7167" w14:textId="77777777" w:rsidR="00052CAA" w:rsidRDefault="00052CAA" w:rsidP="00052CAA">
      <w:pPr>
        <w:ind w:right="36"/>
      </w:pPr>
      <w:r>
        <w:t xml:space="preserve">The Emergency Program </w:t>
      </w:r>
      <w:r w:rsidR="00FD0871">
        <w:t>reserves</w:t>
      </w:r>
      <w:r>
        <w:t xml:space="preserve"> the right to seek third party verification for income, ownership, and household composition. </w:t>
      </w:r>
    </w:p>
    <w:p w14:paraId="5AFA965D" w14:textId="62C82D69" w:rsidR="00BD2607" w:rsidRDefault="00052CAA" w:rsidP="001347CF">
      <w:pPr>
        <w:ind w:right="36"/>
        <w:rPr>
          <w:i/>
          <w:iCs/>
        </w:rPr>
      </w:pPr>
      <w:r>
        <w:t xml:space="preserve">If IRS tax </w:t>
      </w:r>
      <w:proofErr w:type="gramStart"/>
      <w:r>
        <w:t>liens</w:t>
      </w:r>
      <w:proofErr w:type="gramEnd"/>
      <w:r>
        <w:t xml:space="preserve"> or tax certificates are found, the applicant will automatically be</w:t>
      </w:r>
      <w:r w:rsidR="0016725D">
        <w:t xml:space="preserve"> </w:t>
      </w:r>
      <w:r w:rsidR="0016725D" w:rsidRPr="0016725D">
        <w:t>ineligible</w:t>
      </w:r>
      <w:r>
        <w:t xml:space="preserve"> for assistance, unless written satisfaction of </w:t>
      </w:r>
      <w:r w:rsidR="0057061B">
        <w:t xml:space="preserve">the </w:t>
      </w:r>
      <w:proofErr w:type="gramStart"/>
      <w:r>
        <w:t>lien</w:t>
      </w:r>
      <w:proofErr w:type="gramEnd"/>
      <w:r>
        <w:t xml:space="preserve"> is presented to the </w:t>
      </w:r>
      <w:r w:rsidR="00DB0F7E">
        <w:t>Housing &amp; Community Development</w:t>
      </w:r>
      <w:r>
        <w:t xml:space="preserve"> Office. Falsification of income and other required information requested is grounds for disqualification and may </w:t>
      </w:r>
      <w:r w:rsidR="0057061B">
        <w:t>result in</w:t>
      </w:r>
      <w:r>
        <w:t xml:space="preserve"> </w:t>
      </w:r>
      <w:r w:rsidR="0041762F">
        <w:t xml:space="preserve">referral to law enforcement for investigation. </w:t>
      </w:r>
    </w:p>
    <w:p w14:paraId="42926019" w14:textId="67998E75" w:rsidR="00BD1908" w:rsidRDefault="00A84E0B" w:rsidP="009F2317">
      <w:pPr>
        <w:ind w:right="36"/>
      </w:pPr>
      <w:r>
        <w:t xml:space="preserve">The City of Mesa shall complete the applicant’s eligibility status within </w:t>
      </w:r>
      <w:r w:rsidR="00F5698D">
        <w:t>ten</w:t>
      </w:r>
      <w:r>
        <w:t xml:space="preserve"> (</w:t>
      </w:r>
      <w:r w:rsidR="00F5698D">
        <w:t>10</w:t>
      </w:r>
      <w:r>
        <w:t xml:space="preserve">) business days of </w:t>
      </w:r>
      <w:r w:rsidR="009F2317">
        <w:t>receipt</w:t>
      </w:r>
      <w:r>
        <w:t xml:space="preserve"> of the completed application, including </w:t>
      </w:r>
      <w:r w:rsidRPr="00A84E0B">
        <w:t>all</w:t>
      </w:r>
      <w:r>
        <w:t xml:space="preserve"> required income documentation. </w:t>
      </w:r>
    </w:p>
    <w:p w14:paraId="5A6750FD" w14:textId="047D752E" w:rsidR="00FD0871" w:rsidRDefault="00A84E0B" w:rsidP="00FD0871">
      <w:pPr>
        <w:spacing w:after="0"/>
        <w:ind w:right="36"/>
      </w:pPr>
      <w:r>
        <w:t xml:space="preserve">Upon eligibility, the Housing </w:t>
      </w:r>
      <w:r w:rsidR="0057061B">
        <w:t>Rehabilitation</w:t>
      </w:r>
      <w:r>
        <w:t xml:space="preserve"> Specialist shall schedule an appointment to inspect the applicants’ property to evaluate the repairs requested. Painted surfaces that will be affected </w:t>
      </w:r>
      <w:proofErr w:type="gramStart"/>
      <w:r>
        <w:t>as a result of</w:t>
      </w:r>
      <w:proofErr w:type="gramEnd"/>
      <w:r>
        <w:t xml:space="preserve"> the repairs and/or replacements shall be tested for lead-based paint if the home is built prior to 1978 and the area to be affected is greater than the HUD Lead Safe Housing Rule </w:t>
      </w:r>
      <w:r w:rsidR="00CA02AF">
        <w:t xml:space="preserve">de minimis </w:t>
      </w:r>
      <w:r>
        <w:t xml:space="preserve">threshold.  If the </w:t>
      </w:r>
      <w:r w:rsidR="00CA02AF">
        <w:t xml:space="preserve">de minimis </w:t>
      </w:r>
      <w:r>
        <w:t xml:space="preserve">amount is determined to be greater than the allowable square footage, then </w:t>
      </w:r>
      <w:proofErr w:type="gramStart"/>
      <w:r>
        <w:t>lead</w:t>
      </w:r>
      <w:proofErr w:type="gramEnd"/>
      <w:r>
        <w:t xml:space="preserve">-based paint inspection consultant and/or risk assessment shall be conducted by a licensed lead consultant </w:t>
      </w:r>
      <w:r w:rsidR="00BD1908">
        <w:t>company which</w:t>
      </w:r>
      <w:r>
        <w:t xml:space="preserve"> shall be retained by </w:t>
      </w:r>
      <w:r w:rsidR="00FD0871">
        <w:t>t</w:t>
      </w:r>
      <w:r>
        <w:t xml:space="preserve">he City of Mesa Housing and </w:t>
      </w:r>
      <w:r w:rsidR="00DB0F7E">
        <w:t>Housing &amp; Community Development</w:t>
      </w:r>
      <w:r>
        <w:t xml:space="preserve"> Department. The Housing </w:t>
      </w:r>
      <w:r w:rsidR="0057061B">
        <w:t>Rehabilitation</w:t>
      </w:r>
      <w:r>
        <w:t xml:space="preserve"> Specialist shall develop a scope of work. The scope shall also include appropriate measures to address lead-based paint findings in accordance with </w:t>
      </w:r>
      <w:r w:rsidR="00C06437">
        <w:t>pertinent federal</w:t>
      </w:r>
      <w:r>
        <w:t xml:space="preserve"> regulations. </w:t>
      </w:r>
      <w:r w:rsidR="00944E7D">
        <w:t xml:space="preserve"> </w:t>
      </w:r>
    </w:p>
    <w:p w14:paraId="489AE6A2" w14:textId="77777777" w:rsidR="003153B0" w:rsidRDefault="003153B0" w:rsidP="00FD0871">
      <w:pPr>
        <w:spacing w:after="0"/>
        <w:ind w:right="36"/>
      </w:pPr>
    </w:p>
    <w:p w14:paraId="798E9DD4" w14:textId="2F3D53AB" w:rsidR="00BD2607" w:rsidRDefault="00A84E0B" w:rsidP="00FD0871">
      <w:pPr>
        <w:spacing w:after="0"/>
        <w:ind w:right="36"/>
      </w:pPr>
      <w:r>
        <w:t xml:space="preserve">In compliance with federal regulations, </w:t>
      </w:r>
      <w:r w:rsidR="0057061B">
        <w:t>rehabilitation</w:t>
      </w:r>
      <w:r>
        <w:t xml:space="preserve"> projects in residential buildings having 5 or more dwelling units require an asbestos inspection and /or assessment. Associated costs of abatement will be included in all </w:t>
      </w:r>
      <w:r w:rsidR="0057061B">
        <w:t>rehabilitation</w:t>
      </w:r>
      <w:r>
        <w:t xml:space="preserve"> contracts. If abatement costs exceed the </w:t>
      </w:r>
      <w:proofErr w:type="gramStart"/>
      <w:r>
        <w:t>program maximum</w:t>
      </w:r>
      <w:proofErr w:type="gramEnd"/>
      <w:r>
        <w:t>, assistance may not be feasible.</w:t>
      </w:r>
    </w:p>
    <w:p w14:paraId="6F49CB12" w14:textId="77777777" w:rsidR="00FD0871" w:rsidRDefault="00FD0871" w:rsidP="003153B0">
      <w:pPr>
        <w:spacing w:after="0"/>
        <w:ind w:right="36"/>
      </w:pPr>
    </w:p>
    <w:p w14:paraId="7D005185" w14:textId="77777777" w:rsidR="003D1E67" w:rsidRDefault="003D1E67" w:rsidP="009F2317">
      <w:pPr>
        <w:pStyle w:val="ListParagraph"/>
        <w:numPr>
          <w:ilvl w:val="0"/>
          <w:numId w:val="4"/>
        </w:numPr>
        <w:spacing w:after="0"/>
        <w:ind w:left="360"/>
        <w:rPr>
          <w:i/>
          <w:iCs/>
        </w:rPr>
      </w:pPr>
      <w:r w:rsidRPr="003D1E67">
        <w:rPr>
          <w:i/>
          <w:iCs/>
        </w:rPr>
        <w:t>General Requirements</w:t>
      </w:r>
      <w:r w:rsidR="00DA2DCC">
        <w:rPr>
          <w:i/>
          <w:iCs/>
        </w:rPr>
        <w:t xml:space="preserve"> for Contractors</w:t>
      </w:r>
    </w:p>
    <w:p w14:paraId="10444F62" w14:textId="6777B72D" w:rsidR="00E6697F" w:rsidRDefault="003D0113" w:rsidP="009F2317">
      <w:pPr>
        <w:spacing w:after="0"/>
        <w:ind w:right="36"/>
      </w:pPr>
      <w:r>
        <w:t>All contractors who wish to be on the City’s contractor bid list are required to submit a completed Contractor Application initially and then to resubmit their credentials on a yearly basis.</w:t>
      </w:r>
      <w:r w:rsidRPr="00E6697F">
        <w:t xml:space="preserve"> </w:t>
      </w:r>
      <w:r w:rsidR="00FD0871">
        <w:t xml:space="preserve"> </w:t>
      </w:r>
      <w:r>
        <w:t xml:space="preserve">A letter is emailed to the </w:t>
      </w:r>
      <w:r w:rsidR="00DA2DCC">
        <w:t xml:space="preserve">active </w:t>
      </w:r>
      <w:r>
        <w:t>contractors in June requesting they submit the following:</w:t>
      </w:r>
      <w:r w:rsidRPr="00E6697F">
        <w:t xml:space="preserve"> </w:t>
      </w:r>
      <w:r>
        <w:t>Registrar of Contractors</w:t>
      </w:r>
      <w:r w:rsidR="00FD0871">
        <w:t xml:space="preserve"> (ROC)</w:t>
      </w:r>
      <w:r>
        <w:t xml:space="preserve"> License, Contractor Verification Form, Bidder Affidavit, and Certificate of Insurance. </w:t>
      </w:r>
      <w:r w:rsidR="00FD0871">
        <w:t xml:space="preserve"> </w:t>
      </w:r>
      <w:r>
        <w:t>Additionally, a</w:t>
      </w:r>
      <w:r w:rsidR="00E6697F" w:rsidRPr="00E6697F">
        <w:t xml:space="preserve"> </w:t>
      </w:r>
      <w:r w:rsidR="00E6697F">
        <w:t xml:space="preserve">review of the ROC is conducted verifying the </w:t>
      </w:r>
      <w:r w:rsidR="00FD0871">
        <w:t>status</w:t>
      </w:r>
      <w:r w:rsidR="00E6697F">
        <w:t xml:space="preserve"> and types of license(s) that are active.  Verification of System for Award Management (SAM) is also verified by the Housing </w:t>
      </w:r>
      <w:r w:rsidR="0057061B">
        <w:t>Rehabilitation</w:t>
      </w:r>
      <w:r w:rsidR="00E6697F">
        <w:t xml:space="preserve"> Specialist annually and prior to each project contract signing. </w:t>
      </w:r>
      <w:r w:rsidR="00E6697F" w:rsidRPr="00E6697F">
        <w:t xml:space="preserve"> </w:t>
      </w:r>
      <w:r w:rsidR="00E6697F">
        <w:t xml:space="preserve">The Program will not fund a contract if a contractor does not have </w:t>
      </w:r>
      <w:r w:rsidR="00CC15AB">
        <w:t>all</w:t>
      </w:r>
      <w:r w:rsidR="00FD0871">
        <w:t xml:space="preserve"> </w:t>
      </w:r>
      <w:r w:rsidR="00E6697F">
        <w:t>these items.</w:t>
      </w:r>
      <w:r w:rsidR="00E6697F" w:rsidRPr="00E6697F">
        <w:t xml:space="preserve"> </w:t>
      </w:r>
      <w:r w:rsidR="00E6697F">
        <w:t>The Program reserves</w:t>
      </w:r>
      <w:r w:rsidR="00E6697F" w:rsidRPr="00E6697F">
        <w:t xml:space="preserve"> </w:t>
      </w:r>
      <w:r w:rsidR="00E6697F">
        <w:t>the</w:t>
      </w:r>
      <w:r w:rsidR="00E6697F" w:rsidRPr="00E6697F">
        <w:t xml:space="preserve"> </w:t>
      </w:r>
      <w:r w:rsidR="00E6697F">
        <w:t>right</w:t>
      </w:r>
      <w:r w:rsidR="00E6697F" w:rsidRPr="00E6697F">
        <w:t xml:space="preserve"> </w:t>
      </w:r>
      <w:r w:rsidR="00E6697F">
        <w:t>to</w:t>
      </w:r>
      <w:r w:rsidR="00E6697F" w:rsidRPr="00E6697F">
        <w:t xml:space="preserve"> </w:t>
      </w:r>
      <w:r w:rsidR="00E6697F">
        <w:t>exclude</w:t>
      </w:r>
      <w:r w:rsidR="00E6697F" w:rsidRPr="00E6697F">
        <w:t xml:space="preserve"> </w:t>
      </w:r>
      <w:r w:rsidR="00E6697F">
        <w:t>any</w:t>
      </w:r>
      <w:r w:rsidR="00E6697F" w:rsidRPr="00E6697F">
        <w:t xml:space="preserve"> </w:t>
      </w:r>
      <w:r w:rsidR="00E6697F">
        <w:t>contractor</w:t>
      </w:r>
      <w:r w:rsidR="00E6697F" w:rsidRPr="00E6697F">
        <w:t xml:space="preserve"> </w:t>
      </w:r>
      <w:r w:rsidR="00E6697F">
        <w:t>who</w:t>
      </w:r>
      <w:r w:rsidR="00E6697F" w:rsidRPr="00E6697F">
        <w:t xml:space="preserve"> </w:t>
      </w:r>
      <w:r w:rsidR="00E6697F">
        <w:t>has</w:t>
      </w:r>
      <w:r w:rsidR="00E6697F" w:rsidRPr="00E6697F">
        <w:t xml:space="preserve"> </w:t>
      </w:r>
      <w:r w:rsidR="00E6697F">
        <w:t>unresolved</w:t>
      </w:r>
      <w:r w:rsidR="00E6697F" w:rsidRPr="00E6697F">
        <w:t xml:space="preserve"> </w:t>
      </w:r>
      <w:r w:rsidR="00E6697F">
        <w:t>complaints</w:t>
      </w:r>
      <w:r w:rsidR="00E6697F" w:rsidRPr="00E6697F">
        <w:t xml:space="preserve"> </w:t>
      </w:r>
      <w:r w:rsidR="00E6697F">
        <w:t>with</w:t>
      </w:r>
      <w:r w:rsidR="00E6697F" w:rsidRPr="00E6697F">
        <w:t xml:space="preserve"> </w:t>
      </w:r>
      <w:r w:rsidR="00E6697F">
        <w:t>the</w:t>
      </w:r>
      <w:r w:rsidR="00E6697F" w:rsidRPr="00E6697F">
        <w:t xml:space="preserve"> </w:t>
      </w:r>
      <w:r w:rsidR="00E6697F">
        <w:t>Registrar of Contractors office</w:t>
      </w:r>
      <w:r w:rsidR="00FD0871">
        <w:t xml:space="preserve">, or who has not performed in accordance </w:t>
      </w:r>
      <w:proofErr w:type="gramStart"/>
      <w:r w:rsidR="00FD0871">
        <w:t>to</w:t>
      </w:r>
      <w:proofErr w:type="gramEnd"/>
      <w:r w:rsidR="00FD0871">
        <w:t xml:space="preserve"> the bid instructions or contractor application.</w:t>
      </w:r>
    </w:p>
    <w:p w14:paraId="0289CEBA" w14:textId="77777777" w:rsidR="009F2317" w:rsidRDefault="009F2317" w:rsidP="009F2317">
      <w:pPr>
        <w:spacing w:after="0"/>
        <w:ind w:right="36"/>
      </w:pPr>
    </w:p>
    <w:p w14:paraId="27A62404" w14:textId="66771C69" w:rsidR="00E6697F" w:rsidRDefault="00E6697F" w:rsidP="009F2317">
      <w:pPr>
        <w:spacing w:after="0"/>
        <w:ind w:right="36"/>
      </w:pPr>
      <w:r>
        <w:t xml:space="preserve">All contractors are required to provide a minimum two-year workmanship warranty on all work performed through the Program, as set forth by the Arizona Registrar of Contractors. The homeowner is responsible for contacting the contractor for any warranty-related problems. If the homeowner does not feel that the contractor has lived up to </w:t>
      </w:r>
      <w:r w:rsidR="00DA2DCC">
        <w:t xml:space="preserve">warranty </w:t>
      </w:r>
      <w:r>
        <w:t>obligations, the</w:t>
      </w:r>
      <w:r w:rsidR="0041762F">
        <w:t xml:space="preserve">y must seek relief through </w:t>
      </w:r>
      <w:r>
        <w:t xml:space="preserve">Arizona Registrar of Contractors </w:t>
      </w:r>
      <w:r w:rsidR="00FD0871">
        <w:t>(ROC)</w:t>
      </w:r>
      <w:r w:rsidR="0041762F">
        <w:t xml:space="preserve">, </w:t>
      </w:r>
      <w:r>
        <w:t xml:space="preserve">not to the City of Mesa. </w:t>
      </w:r>
    </w:p>
    <w:p w14:paraId="69FB3925" w14:textId="77777777" w:rsidR="009F2317" w:rsidRDefault="009F2317" w:rsidP="009F2317">
      <w:pPr>
        <w:spacing w:after="0"/>
        <w:ind w:right="36"/>
      </w:pPr>
    </w:p>
    <w:p w14:paraId="2BC076E2" w14:textId="02630409" w:rsidR="003D1E67" w:rsidRDefault="00E6697F" w:rsidP="00E6697F">
      <w:pPr>
        <w:ind w:right="36"/>
      </w:pPr>
      <w:r>
        <w:t xml:space="preserve">Any changes to the scope of work shall be documented through a Change Order and shall address only those changes necessary to correct unforeseen code, health and safety issues affecting the immediate livability of the home. Change Orders shall be processed after the contractor submits the required documentation and has obtained both the contractor’s and homeowner’s signatures. The Change Order also requires the signatures of the Housing </w:t>
      </w:r>
      <w:r w:rsidR="0057061B">
        <w:t>Rehabilitation</w:t>
      </w:r>
      <w:r>
        <w:t xml:space="preserve"> Specialist and Housing and Community Development Administrator.</w:t>
      </w:r>
    </w:p>
    <w:p w14:paraId="119D963E" w14:textId="77777777" w:rsidR="00A746CC" w:rsidRDefault="00A746CC" w:rsidP="009F2317">
      <w:pPr>
        <w:pStyle w:val="ListParagraph"/>
        <w:numPr>
          <w:ilvl w:val="0"/>
          <w:numId w:val="4"/>
        </w:numPr>
        <w:spacing w:after="0"/>
        <w:ind w:left="360"/>
        <w:rPr>
          <w:i/>
          <w:iCs/>
        </w:rPr>
      </w:pPr>
      <w:r w:rsidRPr="00A746CC">
        <w:rPr>
          <w:i/>
          <w:iCs/>
        </w:rPr>
        <w:t xml:space="preserve">Small Purchase Procedure for Procuring Contractors </w:t>
      </w:r>
    </w:p>
    <w:p w14:paraId="65998FB4" w14:textId="7A67B4F0" w:rsidR="0002739C" w:rsidRDefault="0002739C" w:rsidP="009F2317">
      <w:pPr>
        <w:spacing w:after="0"/>
        <w:ind w:right="36"/>
      </w:pPr>
      <w:r w:rsidRPr="00857BF0">
        <w:t xml:space="preserve">The </w:t>
      </w:r>
      <w:r w:rsidRPr="004E224F">
        <w:t xml:space="preserve">Housing </w:t>
      </w:r>
      <w:r w:rsidR="0057061B">
        <w:t>Rehabilitation</w:t>
      </w:r>
      <w:r w:rsidRPr="00857BF0">
        <w:t xml:space="preserve"> Specialist </w:t>
      </w:r>
      <w:r w:rsidRPr="004E25B7">
        <w:t>shall issue</w:t>
      </w:r>
      <w:r w:rsidRPr="00857BF0">
        <w:t xml:space="preserve"> the </w:t>
      </w:r>
      <w:r>
        <w:t>Request for Quotations (RFQ)</w:t>
      </w:r>
      <w:r w:rsidRPr="00857BF0">
        <w:t xml:space="preserve"> in </w:t>
      </w:r>
      <w:r>
        <w:t xml:space="preserve">the </w:t>
      </w:r>
      <w:r w:rsidRPr="00857BF0">
        <w:t>H</w:t>
      </w:r>
      <w:r w:rsidRPr="004E224F">
        <w:t>ousing Develop</w:t>
      </w:r>
      <w:r>
        <w:t>er</w:t>
      </w:r>
      <w:r w:rsidRPr="004E224F">
        <w:t xml:space="preserve"> Pro (H</w:t>
      </w:r>
      <w:r w:rsidRPr="00857BF0">
        <w:t>DP</w:t>
      </w:r>
      <w:r w:rsidRPr="004E224F">
        <w:t>)</w:t>
      </w:r>
      <w:r w:rsidRPr="00857BF0">
        <w:t xml:space="preserve"> bid portal system </w:t>
      </w:r>
      <w:r>
        <w:t xml:space="preserve">will be sent </w:t>
      </w:r>
      <w:r w:rsidRPr="00857BF0">
        <w:t xml:space="preserve">to all active contractors with the relevant and appropriate ROC </w:t>
      </w:r>
      <w:proofErr w:type="gramStart"/>
      <w:r w:rsidRPr="00857BF0">
        <w:t>license type</w:t>
      </w:r>
      <w:proofErr w:type="gramEnd"/>
      <w:r w:rsidRPr="00857BF0">
        <w:t xml:space="preserve"> classification(s) per the scope(s) of work.</w:t>
      </w:r>
      <w:r>
        <w:t xml:space="preserve"> The RFQ will identify </w:t>
      </w:r>
      <w:r w:rsidRPr="00857BF0">
        <w:t xml:space="preserve">the </w:t>
      </w:r>
      <w:r>
        <w:t xml:space="preserve">quotation </w:t>
      </w:r>
      <w:r w:rsidRPr="00857BF0">
        <w:t xml:space="preserve">due date and project information.  </w:t>
      </w:r>
    </w:p>
    <w:p w14:paraId="5F5BF202" w14:textId="77777777" w:rsidR="009F2317" w:rsidRPr="00857BF0" w:rsidRDefault="009F2317" w:rsidP="009F2317">
      <w:pPr>
        <w:spacing w:after="0"/>
        <w:ind w:right="36"/>
      </w:pPr>
    </w:p>
    <w:p w14:paraId="4F2ADBA9" w14:textId="36C909B2" w:rsidR="00A746CC" w:rsidRDefault="0002739C" w:rsidP="0002739C">
      <w:pPr>
        <w:ind w:right="36"/>
      </w:pPr>
      <w:r w:rsidRPr="00857BF0">
        <w:t>Contractors receiving the RF</w:t>
      </w:r>
      <w:r>
        <w:t>Q</w:t>
      </w:r>
      <w:r w:rsidRPr="00857BF0">
        <w:t xml:space="preserve"> are provided with the homeowner’s information along with the scope of </w:t>
      </w:r>
      <w:r w:rsidR="00176364" w:rsidRPr="00857BF0">
        <w:t>work.</w:t>
      </w:r>
      <w:r w:rsidRPr="00857BF0">
        <w:t xml:space="preserve">  Any questions regarding the scope of </w:t>
      </w:r>
      <w:r w:rsidR="00176364" w:rsidRPr="00857BF0">
        <w:t>work are</w:t>
      </w:r>
      <w:r w:rsidRPr="00857BF0">
        <w:t xml:space="preserve"> to be addressed to the </w:t>
      </w:r>
      <w:r>
        <w:t xml:space="preserve">Housing </w:t>
      </w:r>
      <w:r w:rsidR="0057061B">
        <w:t>Rehabilitation</w:t>
      </w:r>
      <w:r w:rsidRPr="00857BF0">
        <w:t xml:space="preserve"> Specialist via email. If an addendum is issued, then a revised RF</w:t>
      </w:r>
      <w:r>
        <w:t xml:space="preserve">Q </w:t>
      </w:r>
      <w:r w:rsidRPr="00857BF0">
        <w:t xml:space="preserve">shall be sent to all participating contractors which will include the modified scope of work and a revised </w:t>
      </w:r>
      <w:r>
        <w:t>quotation</w:t>
      </w:r>
      <w:r w:rsidRPr="00857BF0">
        <w:t xml:space="preserve"> due date. This will be provided to allow for any additional time needed for the contractors to include the additional and/or modified work</w:t>
      </w:r>
      <w:r>
        <w:t xml:space="preserve"> identified in the</w:t>
      </w:r>
      <w:r w:rsidRPr="00857BF0">
        <w:t xml:space="preserve"> scope</w:t>
      </w:r>
      <w:r>
        <w:t xml:space="preserve"> of work</w:t>
      </w:r>
      <w:r w:rsidR="0040149B">
        <w:t>.</w:t>
      </w:r>
      <w:r>
        <w:t xml:space="preserve"> </w:t>
      </w:r>
    </w:p>
    <w:p w14:paraId="3A39B21E" w14:textId="3F4910BB" w:rsidR="00C17D92" w:rsidRDefault="00C06437" w:rsidP="0002739C">
      <w:pPr>
        <w:ind w:right="36"/>
      </w:pPr>
      <w:r w:rsidRPr="00857BF0">
        <w:t xml:space="preserve">Once the </w:t>
      </w:r>
      <w:r w:rsidRPr="004E25B7">
        <w:t>quotation</w:t>
      </w:r>
      <w:r w:rsidRPr="00857BF0">
        <w:t xml:space="preserve"> due date and time has arrived the HDP “Bid Comparison Report” shall be</w:t>
      </w:r>
      <w:r w:rsidRPr="004E25B7">
        <w:t xml:space="preserve"> opened and witnessed by two members of the </w:t>
      </w:r>
      <w:r w:rsidR="0057061B">
        <w:t>Rehabilitation</w:t>
      </w:r>
      <w:r w:rsidRPr="004E25B7">
        <w:t xml:space="preserve"> team.  The results shall be</w:t>
      </w:r>
      <w:r w:rsidRPr="00857BF0">
        <w:t xml:space="preserve"> printed </w:t>
      </w:r>
      <w:r w:rsidRPr="004E25B7">
        <w:t xml:space="preserve">and signed by both team members and added to </w:t>
      </w:r>
      <w:r w:rsidRPr="00857BF0">
        <w:t>t</w:t>
      </w:r>
      <w:r w:rsidRPr="004E25B7">
        <w:t>he project file</w:t>
      </w:r>
      <w:r w:rsidRPr="001874BC">
        <w:t xml:space="preserve">. </w:t>
      </w:r>
      <w:r w:rsidR="00CC2CF3" w:rsidRPr="001874BC">
        <w:t xml:space="preserve"> The “Bid Comparison Report” shall be distributed to all participating contractors via email within 24 hours of “Lowest Responsible Contractor” bid award selection. </w:t>
      </w:r>
      <w:r w:rsidRPr="001874BC">
        <w:t>The “Winning Bidder Report” shall be added to the project file an</w:t>
      </w:r>
      <w:r w:rsidRPr="004E25B7">
        <w:t>d</w:t>
      </w:r>
      <w:r w:rsidRPr="00857BF0">
        <w:t xml:space="preserve"> become </w:t>
      </w:r>
      <w:r w:rsidR="001874BC" w:rsidRPr="00857BF0">
        <w:t>Exhibit</w:t>
      </w:r>
      <w:r>
        <w:t xml:space="preserve"> A</w:t>
      </w:r>
      <w:r w:rsidRPr="00857BF0">
        <w:t xml:space="preserve"> </w:t>
      </w:r>
      <w:r w:rsidRPr="004E25B7">
        <w:t>to the executed C</w:t>
      </w:r>
      <w:r w:rsidRPr="00857BF0">
        <w:t xml:space="preserve">ontract as the </w:t>
      </w:r>
      <w:r w:rsidR="001874BC">
        <w:t>scope of work</w:t>
      </w:r>
      <w:r w:rsidRPr="00857BF0">
        <w:t xml:space="preserve">.  The lowest Responsible Bidder shall be scheduled along with the homeowner(s) for a </w:t>
      </w:r>
      <w:proofErr w:type="gramStart"/>
      <w:r w:rsidRPr="00857BF0">
        <w:t>contract signing</w:t>
      </w:r>
      <w:proofErr w:type="gramEnd"/>
      <w:r>
        <w:t>.</w:t>
      </w:r>
      <w:r w:rsidR="00CC2CF3">
        <w:t xml:space="preserve"> </w:t>
      </w:r>
    </w:p>
    <w:p w14:paraId="251F8F6B" w14:textId="77777777" w:rsidR="009F2317" w:rsidRDefault="00DC7A68" w:rsidP="009F2317">
      <w:pPr>
        <w:spacing w:after="0"/>
        <w:ind w:right="36"/>
        <w:rPr>
          <w:b/>
          <w:bCs/>
        </w:rPr>
      </w:pPr>
      <w:r w:rsidRPr="00DC7A68">
        <w:rPr>
          <w:b/>
          <w:bCs/>
        </w:rPr>
        <w:t>Completion and Payment Process:</w:t>
      </w:r>
    </w:p>
    <w:p w14:paraId="08A6FA5D" w14:textId="0DA59A5D" w:rsidR="00C07BBD" w:rsidRPr="009F2317" w:rsidRDefault="00DC7A68" w:rsidP="009F2317">
      <w:pPr>
        <w:spacing w:after="0"/>
        <w:ind w:right="36"/>
        <w:rPr>
          <w:b/>
          <w:bCs/>
        </w:rPr>
      </w:pPr>
      <w:r w:rsidRPr="00DC7A68">
        <w:t xml:space="preserve">When the contractor indicates completion of contracted work and the homeowner concurs, the Housing Rehabilitation Specialist will perform a final inspection with the homeowner.  This evaluation ensures that all aspects of the project align with the scope of work for the project.  Upon mutual agreement of satisfactory completion, the Rehabilitation Specialist will sign and approve the Certification of Release for Completion and Release for Completion of Contracted Work.  This document grants authorization for the city to disburse payment of funds to the contractor. </w:t>
      </w:r>
    </w:p>
    <w:p w14:paraId="312703C8" w14:textId="77777777" w:rsidR="00DE75AD" w:rsidRDefault="00DE75AD" w:rsidP="00C07BBD">
      <w:pPr>
        <w:ind w:right="36"/>
      </w:pPr>
    </w:p>
    <w:p w14:paraId="5A826159" w14:textId="4B706031" w:rsidR="00F33A79" w:rsidRDefault="00F33A79" w:rsidP="00C07BBD">
      <w:pPr>
        <w:ind w:right="36"/>
        <w:rPr>
          <w:b/>
          <w:bCs/>
        </w:rPr>
      </w:pPr>
      <w:r w:rsidRPr="00802458">
        <w:rPr>
          <w:b/>
          <w:bCs/>
        </w:rPr>
        <w:t>Date Adopted:</w:t>
      </w:r>
      <w:r w:rsidRPr="00802458">
        <w:rPr>
          <w:b/>
          <w:bCs/>
        </w:rPr>
        <w:tab/>
        <w:t>April 2, 2024</w:t>
      </w:r>
    </w:p>
    <w:p w14:paraId="56382614" w14:textId="7304E498" w:rsidR="006639CC" w:rsidRDefault="006639CC" w:rsidP="00C07BBD">
      <w:pPr>
        <w:ind w:right="36"/>
        <w:rPr>
          <w:b/>
          <w:bCs/>
        </w:rPr>
      </w:pPr>
      <w:r>
        <w:rPr>
          <w:b/>
          <w:bCs/>
        </w:rPr>
        <w:t>Revised: October 7, 2024</w:t>
      </w:r>
    </w:p>
    <w:p w14:paraId="6762AFBE" w14:textId="44B22319" w:rsidR="003F4985" w:rsidRDefault="003F4985" w:rsidP="003F4985">
      <w:pPr>
        <w:ind w:right="36"/>
        <w:rPr>
          <w:b/>
          <w:bCs/>
        </w:rPr>
      </w:pPr>
      <w:r>
        <w:rPr>
          <w:b/>
          <w:bCs/>
        </w:rPr>
        <w:t>Revised: April 1, 2025</w:t>
      </w:r>
    </w:p>
    <w:p w14:paraId="0A67C256" w14:textId="43A7108F" w:rsidR="009F2317" w:rsidRPr="00C07BBD" w:rsidRDefault="009F2317" w:rsidP="003F4985">
      <w:pPr>
        <w:ind w:right="36"/>
      </w:pPr>
      <w:r w:rsidRPr="00DE75AD">
        <w:rPr>
          <w:b/>
          <w:bCs/>
        </w:rPr>
        <w:t>Revised: August 1, 2025</w:t>
      </w:r>
    </w:p>
    <w:p w14:paraId="37DAFE83" w14:textId="77777777" w:rsidR="003F4985" w:rsidRPr="00C07BBD" w:rsidRDefault="003F4985" w:rsidP="00C07BBD">
      <w:pPr>
        <w:ind w:right="36"/>
      </w:pPr>
    </w:p>
    <w:sectPr w:rsidR="003F4985" w:rsidRPr="00C07BBD" w:rsidSect="00B77A43">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104DE" w14:textId="77777777" w:rsidR="00392A9F" w:rsidRDefault="00392A9F" w:rsidP="00171D27">
      <w:pPr>
        <w:spacing w:after="0" w:line="240" w:lineRule="auto"/>
      </w:pPr>
      <w:r>
        <w:separator/>
      </w:r>
    </w:p>
  </w:endnote>
  <w:endnote w:type="continuationSeparator" w:id="0">
    <w:p w14:paraId="20A2C6AD" w14:textId="77777777" w:rsidR="00392A9F" w:rsidRDefault="00392A9F" w:rsidP="0017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venir LT 65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2E25" w14:textId="77777777" w:rsidR="00F5698D" w:rsidRDefault="0084365B" w:rsidP="00F5698D">
    <w:pPr>
      <w:pStyle w:val="Footer"/>
      <w:ind w:left="90" w:right="-90"/>
      <w:rPr>
        <w:rFonts w:cs="Calibri"/>
        <w:bCs/>
        <w:noProof/>
        <w:sz w:val="16"/>
      </w:rPr>
    </w:pPr>
    <w:r>
      <w:rPr>
        <w:rFonts w:cs="Calibri"/>
        <w:bCs/>
        <w:noProof/>
        <w:sz w:val="16"/>
      </w:rPr>
      <w:tab/>
    </w:r>
  </w:p>
  <w:p w14:paraId="50195D86" w14:textId="147F5C50" w:rsidR="00171D27" w:rsidRPr="00F5698D" w:rsidRDefault="00C0446D" w:rsidP="00F5698D">
    <w:pPr>
      <w:pStyle w:val="Footer"/>
      <w:ind w:left="90" w:right="-90"/>
      <w:rPr>
        <w:rFonts w:ascii="Avenir LT 65 Medium" w:hAnsi="Avenir LT 65 Medium" w:cs="Calibri"/>
        <w:bCs/>
        <w:noProof/>
        <w:sz w:val="18"/>
        <w:szCs w:val="20"/>
      </w:rPr>
    </w:pPr>
    <w:r w:rsidRPr="00F5698D">
      <w:rPr>
        <w:rFonts w:ascii="Avenir LT 65 Medium" w:hAnsi="Avenir LT 65 Medium" w:cs="Calibri"/>
        <w:bCs/>
        <w:noProof/>
        <w:sz w:val="18"/>
        <w:szCs w:val="20"/>
      </w:rPr>
      <w:t>{00514384.1}</w:t>
    </w:r>
    <w:r w:rsidR="00171D27" w:rsidRPr="00F5698D">
      <w:rPr>
        <w:rFonts w:ascii="Avenir LT 65 Medium" w:hAnsi="Avenir LT 65 Medium" w:cs="Calibri"/>
        <w:bCs/>
        <w:noProof/>
        <w:sz w:val="18"/>
        <w:szCs w:val="20"/>
      </w:rPr>
      <w:tab/>
    </w:r>
    <w:r w:rsidR="00171D27" w:rsidRPr="00F5698D">
      <w:rPr>
        <w:rFonts w:ascii="Avenir LT 65 Medium" w:hAnsi="Avenir LT 65 Medium" w:cs="Calibri"/>
        <w:bCs/>
        <w:noProof/>
        <w:sz w:val="18"/>
        <w:szCs w:val="20"/>
      </w:rPr>
      <w:tab/>
    </w:r>
  </w:p>
  <w:p w14:paraId="7825AE73" w14:textId="77777777" w:rsidR="00C77B18" w:rsidRPr="009F569D" w:rsidRDefault="00890F6D" w:rsidP="00C77B18">
    <w:pPr>
      <w:pStyle w:val="Footer"/>
      <w:ind w:left="90" w:right="-90"/>
      <w:rPr>
        <w:rFonts w:ascii="Avenir LT 65 Medium" w:hAnsi="Avenir LT 65 Medium" w:cs="Calibri"/>
        <w:bCs/>
        <w:noProof/>
        <w:sz w:val="18"/>
        <w:szCs w:val="20"/>
      </w:rPr>
    </w:pPr>
    <w:r w:rsidRPr="00F5698D">
      <w:rPr>
        <w:rFonts w:ascii="Avenir LT 65 Medium" w:hAnsi="Avenir LT 65 Medium" w:cs="Calibri"/>
        <w:bCs/>
        <w:noProof/>
        <w:sz w:val="18"/>
        <w:szCs w:val="20"/>
      </w:rPr>
      <w:drawing>
        <wp:anchor distT="0" distB="0" distL="114300" distR="114300" simplePos="0" relativeHeight="251660288" behindDoc="0" locked="0" layoutInCell="1" allowOverlap="1" wp14:anchorId="25B105A9" wp14:editId="1332F58C">
          <wp:simplePos x="0" y="0"/>
          <wp:positionH relativeFrom="column">
            <wp:posOffset>4784090</wp:posOffset>
          </wp:positionH>
          <wp:positionV relativeFrom="paragraph">
            <wp:posOffset>192405</wp:posOffset>
          </wp:positionV>
          <wp:extent cx="308610" cy="356235"/>
          <wp:effectExtent l="0" t="0" r="0" b="5715"/>
          <wp:wrapNone/>
          <wp:docPr id="543475063" name="Picture 543475063" descr="Description: Wheelchair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heelchair Symbol Clip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98D">
      <w:rPr>
        <w:rFonts w:ascii="Avenir LT 65 Medium" w:hAnsi="Avenir LT 65 Medium" w:cs="Calibri"/>
        <w:bCs/>
        <w:noProof/>
        <w:sz w:val="18"/>
        <w:szCs w:val="20"/>
      </w:rPr>
      <w:drawing>
        <wp:anchor distT="0" distB="0" distL="114300" distR="114300" simplePos="0" relativeHeight="251668480" behindDoc="0" locked="0" layoutInCell="1" allowOverlap="1" wp14:anchorId="2502A479" wp14:editId="716C7AAA">
          <wp:simplePos x="0" y="0"/>
          <wp:positionH relativeFrom="rightMargin">
            <wp:posOffset>-819150</wp:posOffset>
          </wp:positionH>
          <wp:positionV relativeFrom="paragraph">
            <wp:posOffset>175260</wp:posOffset>
          </wp:positionV>
          <wp:extent cx="391795" cy="403860"/>
          <wp:effectExtent l="0" t="0" r="8255" b="0"/>
          <wp:wrapNone/>
          <wp:docPr id="188291143" name="Picture 188291143" descr="[4.0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0 inch Equal Housing Opportunity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9179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D27" w:rsidRPr="009F569D">
      <w:rPr>
        <w:rFonts w:ascii="Avenir LT 65 Medium" w:hAnsi="Avenir LT 65 Medium" w:cs="Calibri"/>
        <w:bCs/>
        <w:noProof/>
        <w:sz w:val="18"/>
        <w:szCs w:val="20"/>
      </w:rPr>
      <w:t>For accommodations, such as braille, large print, or translation, please contact City of Mesa Housing and Community</w:t>
    </w:r>
    <w:r w:rsidR="00E000A0" w:rsidRPr="009F569D">
      <w:rPr>
        <w:rFonts w:ascii="Avenir LT 65 Medium" w:hAnsi="Avenir LT 65 Medium" w:cs="Calibri"/>
        <w:bCs/>
        <w:noProof/>
        <w:sz w:val="18"/>
        <w:szCs w:val="20"/>
      </w:rPr>
      <w:t xml:space="preserve"> </w:t>
    </w:r>
    <w:r w:rsidR="00171D27" w:rsidRPr="009F569D">
      <w:rPr>
        <w:rFonts w:ascii="Avenir LT 65 Medium" w:hAnsi="Avenir LT 65 Medium" w:cs="Calibri"/>
        <w:bCs/>
        <w:noProof/>
        <w:sz w:val="18"/>
        <w:szCs w:val="20"/>
      </w:rPr>
      <w:t>Development</w:t>
    </w:r>
    <w:r w:rsidR="00C77B18" w:rsidRPr="009F569D">
      <w:rPr>
        <w:rFonts w:ascii="Avenir LT 65 Medium" w:hAnsi="Avenir LT 65 Medium" w:cs="Calibri"/>
        <w:bCs/>
        <w:noProof/>
        <w:sz w:val="18"/>
        <w:szCs w:val="20"/>
      </w:rPr>
      <w:t xml:space="preserve"> at (480) 644-3536, or AzRelay 7-1-1 for those who are deaf or hard of hearing. </w:t>
    </w:r>
  </w:p>
  <w:p w14:paraId="58A26AA3" w14:textId="77777777" w:rsidR="00E000A0" w:rsidRPr="00F5698D" w:rsidRDefault="00C77B18" w:rsidP="003153B0">
    <w:pPr>
      <w:pStyle w:val="Footer"/>
      <w:ind w:left="90" w:right="-90"/>
      <w:rPr>
        <w:rFonts w:ascii="Avenir LT 65 Medium" w:hAnsi="Avenir LT 65 Medium" w:cs="Calibri"/>
        <w:bCs/>
        <w:noProof/>
        <w:sz w:val="18"/>
        <w:szCs w:val="20"/>
      </w:rPr>
    </w:pPr>
    <w:r w:rsidRPr="00F5698D">
      <w:rPr>
        <w:rFonts w:ascii="Avenir LT 65 Medium" w:hAnsi="Avenir LT 65 Medium" w:cs="Calibri"/>
        <w:bCs/>
        <w:noProof/>
        <w:sz w:val="18"/>
        <w:szCs w:val="20"/>
      </w:rPr>
      <w:t>Si necesita información en español por favor de llamar al 480-644-3536.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37A9" w14:textId="77777777" w:rsidR="00CC3082" w:rsidRPr="009F569D" w:rsidRDefault="00C0446D" w:rsidP="009F569D">
    <w:pPr>
      <w:pStyle w:val="Footer"/>
      <w:ind w:left="90" w:right="-90"/>
      <w:rPr>
        <w:rFonts w:ascii="Avenir LT 65 Medium" w:hAnsi="Avenir LT 65 Medium" w:cs="Calibri"/>
        <w:bCs/>
        <w:sz w:val="18"/>
        <w:szCs w:val="20"/>
      </w:rPr>
    </w:pPr>
    <w:r>
      <w:rPr>
        <w:rFonts w:ascii="Avenir LT 65 Medium" w:hAnsi="Avenir LT 65 Medium" w:cs="Calibri"/>
        <w:bCs/>
        <w:noProof/>
        <w:sz w:val="18"/>
        <w:szCs w:val="20"/>
      </w:rPr>
      <w:t>{00514384.1}</w:t>
    </w:r>
    <w:r w:rsidR="009F569D">
      <w:rPr>
        <w:rFonts w:ascii="Avenir LT 65 Medium" w:hAnsi="Avenir LT 65 Medium" w:cs="Calibri"/>
        <w:bCs/>
        <w:sz w:val="18"/>
        <w:szCs w:val="20"/>
      </w:rPr>
      <w:tab/>
    </w:r>
  </w:p>
  <w:p w14:paraId="3A8908EA" w14:textId="77777777" w:rsidR="00BA49A7" w:rsidRPr="009F569D" w:rsidRDefault="00CC3082" w:rsidP="00BA49A7">
    <w:pPr>
      <w:pStyle w:val="Footer"/>
      <w:ind w:left="90" w:right="-90"/>
      <w:rPr>
        <w:rFonts w:ascii="Avenir LT 65 Medium" w:hAnsi="Avenir LT 65 Medium" w:cs="Calibri"/>
        <w:bCs/>
        <w:sz w:val="18"/>
        <w:szCs w:val="20"/>
      </w:rPr>
    </w:pPr>
    <w:r w:rsidRPr="009F569D">
      <w:rPr>
        <w:rFonts w:ascii="Avenir LT 65 Medium" w:hAnsi="Avenir LT 65 Medium" w:cs="Calibri"/>
        <w:b/>
        <w:bCs/>
        <w:noProof/>
      </w:rPr>
      <w:drawing>
        <wp:anchor distT="0" distB="0" distL="114300" distR="114300" simplePos="0" relativeHeight="251669504" behindDoc="0" locked="0" layoutInCell="1" allowOverlap="1" wp14:anchorId="69AABB40" wp14:editId="55DE6AE1">
          <wp:simplePos x="0" y="0"/>
          <wp:positionH relativeFrom="column">
            <wp:posOffset>4784090</wp:posOffset>
          </wp:positionH>
          <wp:positionV relativeFrom="paragraph">
            <wp:posOffset>192405</wp:posOffset>
          </wp:positionV>
          <wp:extent cx="308610" cy="356235"/>
          <wp:effectExtent l="0" t="0" r="0" b="5715"/>
          <wp:wrapNone/>
          <wp:docPr id="481422194" name="Picture 481422194" descr="Description: Wheelchair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heelchair Symbol Clip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69D">
      <w:rPr>
        <w:rFonts w:ascii="Avenir LT 65 Medium" w:hAnsi="Avenir LT 65 Medium" w:cs="Calibri"/>
        <w:b/>
        <w:bCs/>
        <w:noProof/>
        <w:sz w:val="18"/>
        <w:szCs w:val="20"/>
      </w:rPr>
      <w:drawing>
        <wp:anchor distT="0" distB="0" distL="114300" distR="114300" simplePos="0" relativeHeight="251670528" behindDoc="0" locked="0" layoutInCell="1" allowOverlap="1" wp14:anchorId="50B71167" wp14:editId="1A238A31">
          <wp:simplePos x="0" y="0"/>
          <wp:positionH relativeFrom="rightMargin">
            <wp:posOffset>-819150</wp:posOffset>
          </wp:positionH>
          <wp:positionV relativeFrom="paragraph">
            <wp:posOffset>175260</wp:posOffset>
          </wp:positionV>
          <wp:extent cx="391795" cy="403860"/>
          <wp:effectExtent l="0" t="0" r="8255" b="0"/>
          <wp:wrapNone/>
          <wp:docPr id="1358986211" name="Picture 1358986211" descr="[4.0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0 inch Equal Housing Opportunity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9179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69D">
      <w:rPr>
        <w:rFonts w:ascii="Avenir LT 65 Medium" w:hAnsi="Avenir LT 65 Medium" w:cs="Calibri"/>
        <w:bCs/>
        <w:sz w:val="18"/>
        <w:szCs w:val="20"/>
      </w:rPr>
      <w:t>For accommodations, such as braille, large print, or translation, please contact City of Mesa Housing and Community Development</w:t>
    </w:r>
    <w:r w:rsidR="00BA49A7" w:rsidRPr="009F569D">
      <w:rPr>
        <w:rFonts w:ascii="Avenir LT 65 Medium" w:hAnsi="Avenir LT 65 Medium" w:cs="Calibri"/>
        <w:bCs/>
        <w:sz w:val="18"/>
        <w:szCs w:val="20"/>
      </w:rPr>
      <w:t xml:space="preserve"> at (480) 644-3536, or </w:t>
    </w:r>
    <w:proofErr w:type="spellStart"/>
    <w:r w:rsidR="00BA49A7" w:rsidRPr="009F569D">
      <w:rPr>
        <w:rFonts w:ascii="Avenir LT 65 Medium" w:hAnsi="Avenir LT 65 Medium" w:cs="Calibri"/>
        <w:bCs/>
        <w:sz w:val="18"/>
        <w:szCs w:val="20"/>
      </w:rPr>
      <w:t>AzRelay</w:t>
    </w:r>
    <w:proofErr w:type="spellEnd"/>
    <w:r w:rsidR="00BA49A7" w:rsidRPr="009F569D">
      <w:rPr>
        <w:rFonts w:ascii="Avenir LT 65 Medium" w:hAnsi="Avenir LT 65 Medium" w:cs="Calibri"/>
        <w:bCs/>
        <w:sz w:val="18"/>
        <w:szCs w:val="20"/>
      </w:rPr>
      <w:t xml:space="preserve"> 7-1-1 for those who are deaf or hard of hearing. </w:t>
    </w:r>
  </w:p>
  <w:p w14:paraId="3627CD87" w14:textId="77777777" w:rsidR="00BA49A7" w:rsidRPr="009F569D" w:rsidRDefault="00BA49A7" w:rsidP="00BA49A7">
    <w:pPr>
      <w:pStyle w:val="Footer"/>
      <w:ind w:left="90" w:right="-90"/>
      <w:rPr>
        <w:rFonts w:ascii="Avenir LT 65 Medium" w:hAnsi="Avenir LT 65 Medium" w:cs="Calibri"/>
        <w:b/>
        <w:bCs/>
        <w:sz w:val="18"/>
        <w:szCs w:val="20"/>
      </w:rPr>
    </w:pPr>
    <w:r w:rsidRPr="009F569D">
      <w:rPr>
        <w:sz w:val="18"/>
        <w:szCs w:val="20"/>
      </w:rPr>
      <w:t xml:space="preserve">Si </w:t>
    </w:r>
    <w:proofErr w:type="spellStart"/>
    <w:r w:rsidRPr="009F569D">
      <w:rPr>
        <w:sz w:val="18"/>
        <w:szCs w:val="20"/>
      </w:rPr>
      <w:t>necesita</w:t>
    </w:r>
    <w:proofErr w:type="spellEnd"/>
    <w:r w:rsidRPr="009F569D">
      <w:rPr>
        <w:sz w:val="18"/>
        <w:szCs w:val="20"/>
      </w:rPr>
      <w:t xml:space="preserve"> </w:t>
    </w:r>
    <w:proofErr w:type="spellStart"/>
    <w:r w:rsidRPr="009F569D">
      <w:rPr>
        <w:sz w:val="18"/>
        <w:szCs w:val="20"/>
      </w:rPr>
      <w:t>información</w:t>
    </w:r>
    <w:proofErr w:type="spellEnd"/>
    <w:r w:rsidRPr="009F569D">
      <w:rPr>
        <w:sz w:val="18"/>
        <w:szCs w:val="20"/>
      </w:rPr>
      <w:t xml:space="preserve"> </w:t>
    </w:r>
    <w:proofErr w:type="spellStart"/>
    <w:r w:rsidRPr="009F569D">
      <w:rPr>
        <w:sz w:val="18"/>
        <w:szCs w:val="20"/>
      </w:rPr>
      <w:t>en</w:t>
    </w:r>
    <w:proofErr w:type="spellEnd"/>
    <w:r w:rsidRPr="009F569D">
      <w:rPr>
        <w:sz w:val="18"/>
        <w:szCs w:val="20"/>
      </w:rPr>
      <w:t xml:space="preserve"> </w:t>
    </w:r>
    <w:proofErr w:type="spellStart"/>
    <w:r w:rsidRPr="009F569D">
      <w:rPr>
        <w:sz w:val="18"/>
        <w:szCs w:val="20"/>
      </w:rPr>
      <w:t>español</w:t>
    </w:r>
    <w:proofErr w:type="spellEnd"/>
    <w:r w:rsidRPr="009F569D">
      <w:rPr>
        <w:sz w:val="18"/>
        <w:szCs w:val="20"/>
      </w:rPr>
      <w:t xml:space="preserve"> </w:t>
    </w:r>
    <w:proofErr w:type="spellStart"/>
    <w:r w:rsidRPr="009F569D">
      <w:rPr>
        <w:sz w:val="18"/>
        <w:szCs w:val="20"/>
      </w:rPr>
      <w:t>por</w:t>
    </w:r>
    <w:proofErr w:type="spellEnd"/>
    <w:r w:rsidRPr="009F569D">
      <w:rPr>
        <w:sz w:val="18"/>
        <w:szCs w:val="20"/>
      </w:rPr>
      <w:t xml:space="preserve"> favor de </w:t>
    </w:r>
    <w:proofErr w:type="spellStart"/>
    <w:r w:rsidRPr="009F569D">
      <w:rPr>
        <w:sz w:val="18"/>
        <w:szCs w:val="20"/>
      </w:rPr>
      <w:t>llamar</w:t>
    </w:r>
    <w:proofErr w:type="spellEnd"/>
    <w:r w:rsidRPr="009F569D">
      <w:rPr>
        <w:sz w:val="18"/>
        <w:szCs w:val="20"/>
      </w:rPr>
      <w:t xml:space="preserve"> al 480-644-3536</w:t>
    </w:r>
    <w:r w:rsidRPr="009F569D">
      <w:rPr>
        <w:rFonts w:ascii="Avenir LT 65 Medium" w:hAnsi="Avenir LT 65 Medium" w:cs="Calibri"/>
        <w:b/>
        <w:bCs/>
        <w:sz w:val="18"/>
        <w:szCs w:val="20"/>
      </w:rPr>
      <w:t>.</w:t>
    </w:r>
  </w:p>
  <w:p w14:paraId="300489B0" w14:textId="77777777" w:rsidR="00CC3082" w:rsidRPr="009F569D" w:rsidRDefault="00CC3082" w:rsidP="00BA49A7">
    <w:pPr>
      <w:pStyle w:val="Footer"/>
      <w:ind w:left="90" w:right="-90"/>
      <w:rPr>
        <w:rFonts w:ascii="Avenir LT 65 Medium" w:hAnsi="Avenir LT 65 Medium" w:cs="Calibri"/>
        <w:b/>
        <w:bCs/>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6C9B6" w14:textId="77777777" w:rsidR="00392A9F" w:rsidRDefault="00392A9F" w:rsidP="00171D27">
      <w:pPr>
        <w:spacing w:after="0" w:line="240" w:lineRule="auto"/>
        <w:rPr>
          <w:noProof/>
        </w:rPr>
      </w:pPr>
      <w:r>
        <w:rPr>
          <w:noProof/>
        </w:rPr>
        <w:separator/>
      </w:r>
    </w:p>
  </w:footnote>
  <w:footnote w:type="continuationSeparator" w:id="0">
    <w:p w14:paraId="6A4A2BAD" w14:textId="77777777" w:rsidR="00392A9F" w:rsidRDefault="00392A9F" w:rsidP="00171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184"/>
    <w:multiLevelType w:val="hybridMultilevel"/>
    <w:tmpl w:val="10CEFC0E"/>
    <w:lvl w:ilvl="0" w:tplc="42263E14">
      <w:start w:val="1"/>
      <w:numFmt w:val="bullet"/>
      <w:lvlText w:val="•"/>
      <w:lvlJc w:val="left"/>
      <w:pPr>
        <w:ind w:left="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675B8">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CD7B6">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D06CE8">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360874">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A6D10">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482D06">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626B4C">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D6266A">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230A82"/>
    <w:multiLevelType w:val="hybridMultilevel"/>
    <w:tmpl w:val="A7723A92"/>
    <w:lvl w:ilvl="0" w:tplc="4EA445F6">
      <w:start w:val="1"/>
      <w:numFmt w:val="bullet"/>
      <w:lvlText w:val="•"/>
      <w:lvlJc w:val="left"/>
      <w:pPr>
        <w:ind w:left="1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3261C4">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F65D9E">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F00A6E">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CB6A4">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E633C4">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A2353A">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6654E">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B4A04A">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CD3AF5"/>
    <w:multiLevelType w:val="multilevel"/>
    <w:tmpl w:val="13BE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70629"/>
    <w:multiLevelType w:val="hybridMultilevel"/>
    <w:tmpl w:val="F370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45916"/>
    <w:multiLevelType w:val="hybridMultilevel"/>
    <w:tmpl w:val="57A02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44EFC"/>
    <w:multiLevelType w:val="hybridMultilevel"/>
    <w:tmpl w:val="5E0E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095559">
    <w:abstractNumId w:val="1"/>
  </w:num>
  <w:num w:numId="2" w16cid:durableId="561016600">
    <w:abstractNumId w:val="3"/>
  </w:num>
  <w:num w:numId="3" w16cid:durableId="613369314">
    <w:abstractNumId w:val="5"/>
  </w:num>
  <w:num w:numId="4" w16cid:durableId="1676375859">
    <w:abstractNumId w:val="4"/>
  </w:num>
  <w:num w:numId="5" w16cid:durableId="961615186">
    <w:abstractNumId w:val="0"/>
  </w:num>
  <w:num w:numId="6" w16cid:durableId="1913734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27"/>
    <w:rsid w:val="00021F8F"/>
    <w:rsid w:val="0002739C"/>
    <w:rsid w:val="00040924"/>
    <w:rsid w:val="00045E3B"/>
    <w:rsid w:val="00052CAA"/>
    <w:rsid w:val="0008078E"/>
    <w:rsid w:val="00083989"/>
    <w:rsid w:val="000B2946"/>
    <w:rsid w:val="000C14C4"/>
    <w:rsid w:val="001123E6"/>
    <w:rsid w:val="00133493"/>
    <w:rsid w:val="00133F99"/>
    <w:rsid w:val="001347CF"/>
    <w:rsid w:val="00154F98"/>
    <w:rsid w:val="001621D2"/>
    <w:rsid w:val="0016725D"/>
    <w:rsid w:val="00171D27"/>
    <w:rsid w:val="00176364"/>
    <w:rsid w:val="0018348B"/>
    <w:rsid w:val="001844A3"/>
    <w:rsid w:val="001874BC"/>
    <w:rsid w:val="001A0319"/>
    <w:rsid w:val="001F7ABE"/>
    <w:rsid w:val="002048DC"/>
    <w:rsid w:val="0021043A"/>
    <w:rsid w:val="00211C91"/>
    <w:rsid w:val="00215D75"/>
    <w:rsid w:val="0023246A"/>
    <w:rsid w:val="00240BB1"/>
    <w:rsid w:val="002544DD"/>
    <w:rsid w:val="002664BA"/>
    <w:rsid w:val="0027301F"/>
    <w:rsid w:val="0028157F"/>
    <w:rsid w:val="0028587B"/>
    <w:rsid w:val="00296E23"/>
    <w:rsid w:val="002B3CB8"/>
    <w:rsid w:val="002E09AF"/>
    <w:rsid w:val="002E7971"/>
    <w:rsid w:val="002F66C4"/>
    <w:rsid w:val="003023FA"/>
    <w:rsid w:val="003153B0"/>
    <w:rsid w:val="00325C5B"/>
    <w:rsid w:val="00334FC8"/>
    <w:rsid w:val="00341A64"/>
    <w:rsid w:val="00346738"/>
    <w:rsid w:val="003632DF"/>
    <w:rsid w:val="00380E9C"/>
    <w:rsid w:val="00392A9F"/>
    <w:rsid w:val="003A26B6"/>
    <w:rsid w:val="003B7B1C"/>
    <w:rsid w:val="003C1349"/>
    <w:rsid w:val="003C4743"/>
    <w:rsid w:val="003C6727"/>
    <w:rsid w:val="003C6999"/>
    <w:rsid w:val="003D0113"/>
    <w:rsid w:val="003D06DD"/>
    <w:rsid w:val="003D0C48"/>
    <w:rsid w:val="003D1E67"/>
    <w:rsid w:val="003F4985"/>
    <w:rsid w:val="003F49F3"/>
    <w:rsid w:val="0040149B"/>
    <w:rsid w:val="0041762F"/>
    <w:rsid w:val="0043283C"/>
    <w:rsid w:val="00435B2A"/>
    <w:rsid w:val="00441341"/>
    <w:rsid w:val="00444A91"/>
    <w:rsid w:val="004600FB"/>
    <w:rsid w:val="00461F4A"/>
    <w:rsid w:val="00475068"/>
    <w:rsid w:val="004B1729"/>
    <w:rsid w:val="004C5ACC"/>
    <w:rsid w:val="004D07F4"/>
    <w:rsid w:val="004D50DE"/>
    <w:rsid w:val="004D62CF"/>
    <w:rsid w:val="004E1E15"/>
    <w:rsid w:val="004F5C6D"/>
    <w:rsid w:val="00503CCE"/>
    <w:rsid w:val="005449B7"/>
    <w:rsid w:val="0057061B"/>
    <w:rsid w:val="005A50CA"/>
    <w:rsid w:val="005B64CA"/>
    <w:rsid w:val="005C74D5"/>
    <w:rsid w:val="005D6176"/>
    <w:rsid w:val="005E053B"/>
    <w:rsid w:val="005E3168"/>
    <w:rsid w:val="005E78B0"/>
    <w:rsid w:val="005E7FCA"/>
    <w:rsid w:val="00631DE2"/>
    <w:rsid w:val="00635D5D"/>
    <w:rsid w:val="0064296E"/>
    <w:rsid w:val="006639CC"/>
    <w:rsid w:val="00681FB4"/>
    <w:rsid w:val="00696529"/>
    <w:rsid w:val="00697B43"/>
    <w:rsid w:val="006A3633"/>
    <w:rsid w:val="006D17D5"/>
    <w:rsid w:val="00741F09"/>
    <w:rsid w:val="007515E4"/>
    <w:rsid w:val="00760310"/>
    <w:rsid w:val="00771236"/>
    <w:rsid w:val="0079474E"/>
    <w:rsid w:val="00797B7A"/>
    <w:rsid w:val="007D6D3D"/>
    <w:rsid w:val="007E1029"/>
    <w:rsid w:val="007E3638"/>
    <w:rsid w:val="00802458"/>
    <w:rsid w:val="00813FD1"/>
    <w:rsid w:val="00821E20"/>
    <w:rsid w:val="00831BFE"/>
    <w:rsid w:val="0084365B"/>
    <w:rsid w:val="00850558"/>
    <w:rsid w:val="00862AE8"/>
    <w:rsid w:val="0086699F"/>
    <w:rsid w:val="00885B55"/>
    <w:rsid w:val="00890F6D"/>
    <w:rsid w:val="008971AB"/>
    <w:rsid w:val="008A60BF"/>
    <w:rsid w:val="008A6526"/>
    <w:rsid w:val="008B0EC2"/>
    <w:rsid w:val="008D685B"/>
    <w:rsid w:val="008E7698"/>
    <w:rsid w:val="008F3380"/>
    <w:rsid w:val="00900C7C"/>
    <w:rsid w:val="0091573F"/>
    <w:rsid w:val="00915F21"/>
    <w:rsid w:val="009222CB"/>
    <w:rsid w:val="00944E7D"/>
    <w:rsid w:val="00944F85"/>
    <w:rsid w:val="009459CA"/>
    <w:rsid w:val="00956CA8"/>
    <w:rsid w:val="00962743"/>
    <w:rsid w:val="0098300F"/>
    <w:rsid w:val="0099686E"/>
    <w:rsid w:val="009C3384"/>
    <w:rsid w:val="009C3584"/>
    <w:rsid w:val="009D50B2"/>
    <w:rsid w:val="009F2317"/>
    <w:rsid w:val="009F29E5"/>
    <w:rsid w:val="009F569D"/>
    <w:rsid w:val="00A12BA5"/>
    <w:rsid w:val="00A172B9"/>
    <w:rsid w:val="00A36A5B"/>
    <w:rsid w:val="00A468EA"/>
    <w:rsid w:val="00A662FF"/>
    <w:rsid w:val="00A746CC"/>
    <w:rsid w:val="00A84E0B"/>
    <w:rsid w:val="00AB0235"/>
    <w:rsid w:val="00AD73D2"/>
    <w:rsid w:val="00AE6A5E"/>
    <w:rsid w:val="00B112B0"/>
    <w:rsid w:val="00B333AA"/>
    <w:rsid w:val="00B77A43"/>
    <w:rsid w:val="00B94505"/>
    <w:rsid w:val="00BA49A7"/>
    <w:rsid w:val="00BB34CB"/>
    <w:rsid w:val="00BD1908"/>
    <w:rsid w:val="00BD2607"/>
    <w:rsid w:val="00BD4D6A"/>
    <w:rsid w:val="00BE4E36"/>
    <w:rsid w:val="00BF37E4"/>
    <w:rsid w:val="00C0446D"/>
    <w:rsid w:val="00C06437"/>
    <w:rsid w:val="00C07BBD"/>
    <w:rsid w:val="00C17D92"/>
    <w:rsid w:val="00C310D3"/>
    <w:rsid w:val="00C50B8D"/>
    <w:rsid w:val="00C631EC"/>
    <w:rsid w:val="00C76CBC"/>
    <w:rsid w:val="00C77B18"/>
    <w:rsid w:val="00C94793"/>
    <w:rsid w:val="00CA02AF"/>
    <w:rsid w:val="00CA2430"/>
    <w:rsid w:val="00CC15AB"/>
    <w:rsid w:val="00CC2CEA"/>
    <w:rsid w:val="00CC2CF3"/>
    <w:rsid w:val="00CC3082"/>
    <w:rsid w:val="00CC7863"/>
    <w:rsid w:val="00D02353"/>
    <w:rsid w:val="00D64666"/>
    <w:rsid w:val="00D70797"/>
    <w:rsid w:val="00D716B4"/>
    <w:rsid w:val="00D73BA3"/>
    <w:rsid w:val="00D8460C"/>
    <w:rsid w:val="00DA2DCC"/>
    <w:rsid w:val="00DB0F7E"/>
    <w:rsid w:val="00DB102E"/>
    <w:rsid w:val="00DC7A68"/>
    <w:rsid w:val="00DD6917"/>
    <w:rsid w:val="00DE75AD"/>
    <w:rsid w:val="00DF4959"/>
    <w:rsid w:val="00E000A0"/>
    <w:rsid w:val="00E45E94"/>
    <w:rsid w:val="00E511BA"/>
    <w:rsid w:val="00E6236B"/>
    <w:rsid w:val="00E6697F"/>
    <w:rsid w:val="00E856F3"/>
    <w:rsid w:val="00E86E04"/>
    <w:rsid w:val="00EB2DFC"/>
    <w:rsid w:val="00EB60CC"/>
    <w:rsid w:val="00EC3D62"/>
    <w:rsid w:val="00ED5938"/>
    <w:rsid w:val="00ED5C9D"/>
    <w:rsid w:val="00EF492E"/>
    <w:rsid w:val="00EF61AE"/>
    <w:rsid w:val="00F012F2"/>
    <w:rsid w:val="00F30308"/>
    <w:rsid w:val="00F33A79"/>
    <w:rsid w:val="00F4689F"/>
    <w:rsid w:val="00F47AA9"/>
    <w:rsid w:val="00F564BB"/>
    <w:rsid w:val="00F5698D"/>
    <w:rsid w:val="00F82D3A"/>
    <w:rsid w:val="00F84E8F"/>
    <w:rsid w:val="00F97B7B"/>
    <w:rsid w:val="00FD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3279D"/>
  <w15:chartTrackingRefBased/>
  <w15:docId w15:val="{6390F21E-E0BB-4125-BD73-269FE97D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0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5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0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D27"/>
  </w:style>
  <w:style w:type="paragraph" w:styleId="Footer">
    <w:name w:val="footer"/>
    <w:basedOn w:val="Normal"/>
    <w:link w:val="FooterChar"/>
    <w:uiPriority w:val="99"/>
    <w:unhideWhenUsed/>
    <w:rsid w:val="00171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D27"/>
  </w:style>
  <w:style w:type="paragraph" w:customStyle="1" w:styleId="Pa0">
    <w:name w:val="Pa0"/>
    <w:basedOn w:val="Normal"/>
    <w:next w:val="Normal"/>
    <w:uiPriority w:val="99"/>
    <w:rsid w:val="00171D27"/>
    <w:pPr>
      <w:widowControl w:val="0"/>
      <w:autoSpaceDE w:val="0"/>
      <w:autoSpaceDN w:val="0"/>
      <w:adjustRightInd w:val="0"/>
      <w:spacing w:after="0" w:line="241" w:lineRule="atLeast"/>
    </w:pPr>
    <w:rPr>
      <w:rFonts w:ascii="Avenir LT 65 Medium" w:eastAsia="Times New Roman" w:hAnsi="Avenir LT 65 Medium" w:cs="Times New Roman"/>
      <w:sz w:val="24"/>
      <w:szCs w:val="24"/>
    </w:rPr>
  </w:style>
  <w:style w:type="character" w:customStyle="1" w:styleId="A0">
    <w:name w:val="A0"/>
    <w:uiPriority w:val="99"/>
    <w:rsid w:val="00171D27"/>
    <w:rPr>
      <w:color w:val="221E1F"/>
      <w:sz w:val="13"/>
    </w:rPr>
  </w:style>
  <w:style w:type="paragraph" w:customStyle="1" w:styleId="Pa1">
    <w:name w:val="Pa1"/>
    <w:basedOn w:val="Normal"/>
    <w:next w:val="Normal"/>
    <w:uiPriority w:val="99"/>
    <w:rsid w:val="00171D27"/>
    <w:pPr>
      <w:widowControl w:val="0"/>
      <w:autoSpaceDE w:val="0"/>
      <w:autoSpaceDN w:val="0"/>
      <w:adjustRightInd w:val="0"/>
      <w:spacing w:after="0" w:line="241" w:lineRule="atLeast"/>
    </w:pPr>
    <w:rPr>
      <w:rFonts w:ascii="Avenir LT 65 Medium" w:eastAsia="Times New Roman" w:hAnsi="Avenir LT 65 Medium" w:cs="Times New Roman"/>
      <w:sz w:val="24"/>
      <w:szCs w:val="24"/>
    </w:rPr>
  </w:style>
  <w:style w:type="paragraph" w:styleId="BalloonText">
    <w:name w:val="Balloon Text"/>
    <w:basedOn w:val="Normal"/>
    <w:link w:val="BalloonTextChar"/>
    <w:uiPriority w:val="99"/>
    <w:semiHidden/>
    <w:unhideWhenUsed/>
    <w:rsid w:val="003C6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999"/>
    <w:rPr>
      <w:rFonts w:ascii="Segoe UI" w:hAnsi="Segoe UI" w:cs="Segoe UI"/>
      <w:sz w:val="18"/>
      <w:szCs w:val="18"/>
    </w:rPr>
  </w:style>
  <w:style w:type="character" w:customStyle="1" w:styleId="Heading1Char">
    <w:name w:val="Heading 1 Char"/>
    <w:basedOn w:val="DefaultParagraphFont"/>
    <w:link w:val="Heading1"/>
    <w:uiPriority w:val="9"/>
    <w:rsid w:val="005A50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97B7B"/>
    <w:pPr>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5E05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102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B7B1C"/>
    <w:rPr>
      <w:color w:val="0563C1" w:themeColor="hyperlink"/>
      <w:u w:val="single"/>
    </w:rPr>
  </w:style>
  <w:style w:type="character" w:styleId="CommentReference">
    <w:name w:val="annotation reference"/>
    <w:basedOn w:val="DefaultParagraphFont"/>
    <w:uiPriority w:val="99"/>
    <w:semiHidden/>
    <w:unhideWhenUsed/>
    <w:rsid w:val="00A84E0B"/>
    <w:rPr>
      <w:sz w:val="16"/>
      <w:szCs w:val="16"/>
    </w:rPr>
  </w:style>
  <w:style w:type="paragraph" w:styleId="CommentText">
    <w:name w:val="annotation text"/>
    <w:basedOn w:val="Normal"/>
    <w:link w:val="CommentTextChar"/>
    <w:uiPriority w:val="99"/>
    <w:unhideWhenUsed/>
    <w:rsid w:val="00A84E0B"/>
    <w:pPr>
      <w:spacing w:after="5" w:line="240" w:lineRule="auto"/>
      <w:ind w:left="2699" w:right="477" w:hanging="9"/>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rsid w:val="00A84E0B"/>
    <w:rPr>
      <w:rFonts w:ascii="Arial" w:eastAsia="Arial" w:hAnsi="Arial" w:cs="Arial"/>
      <w:color w:val="000000"/>
      <w:sz w:val="20"/>
      <w:szCs w:val="20"/>
    </w:rPr>
  </w:style>
  <w:style w:type="paragraph" w:styleId="Subtitle">
    <w:name w:val="Subtitle"/>
    <w:basedOn w:val="Normal"/>
    <w:link w:val="SubtitleChar"/>
    <w:qFormat/>
    <w:rsid w:val="00E856F3"/>
    <w:pPr>
      <w:spacing w:after="0" w:line="240" w:lineRule="auto"/>
      <w:jc w:val="center"/>
    </w:pPr>
    <w:rPr>
      <w:rFonts w:ascii="CG Times" w:eastAsia="Times New Roman" w:hAnsi="CG Times" w:cs="Times New Roman"/>
      <w:sz w:val="28"/>
      <w:szCs w:val="24"/>
    </w:rPr>
  </w:style>
  <w:style w:type="character" w:customStyle="1" w:styleId="SubtitleChar">
    <w:name w:val="Subtitle Char"/>
    <w:basedOn w:val="DefaultParagraphFont"/>
    <w:link w:val="Subtitle"/>
    <w:rsid w:val="00E856F3"/>
    <w:rPr>
      <w:rFonts w:ascii="CG Times" w:eastAsia="Times New Roman" w:hAnsi="CG Times" w:cs="Times New Roman"/>
      <w:sz w:val="28"/>
      <w:szCs w:val="24"/>
    </w:rPr>
  </w:style>
  <w:style w:type="paragraph" w:styleId="Revision">
    <w:name w:val="Revision"/>
    <w:hidden/>
    <w:uiPriority w:val="99"/>
    <w:semiHidden/>
    <w:rsid w:val="003F49F3"/>
    <w:pPr>
      <w:spacing w:after="0" w:line="240" w:lineRule="auto"/>
    </w:pPr>
  </w:style>
  <w:style w:type="paragraph" w:styleId="CommentSubject">
    <w:name w:val="annotation subject"/>
    <w:basedOn w:val="CommentText"/>
    <w:next w:val="CommentText"/>
    <w:link w:val="CommentSubjectChar"/>
    <w:uiPriority w:val="99"/>
    <w:semiHidden/>
    <w:unhideWhenUsed/>
    <w:rsid w:val="00503CCE"/>
    <w:pPr>
      <w:spacing w:after="160"/>
      <w:ind w:left="0" w:right="0" w:firstLine="0"/>
    </w:pPr>
    <w:rPr>
      <w:rFonts w:ascii="Calibri" w:eastAsiaTheme="minorHAnsi" w:hAnsi="Calibri" w:cs="Arial Unicode MS"/>
      <w:b/>
      <w:bCs/>
      <w:color w:val="auto"/>
    </w:rPr>
  </w:style>
  <w:style w:type="character" w:customStyle="1" w:styleId="CommentSubjectChar">
    <w:name w:val="Comment Subject Char"/>
    <w:basedOn w:val="CommentTextChar"/>
    <w:link w:val="CommentSubject"/>
    <w:uiPriority w:val="99"/>
    <w:semiHidden/>
    <w:rsid w:val="00503CCE"/>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C94793"/>
    <w:rPr>
      <w:color w:val="954F72" w:themeColor="followedHyperlink"/>
      <w:u w:val="single"/>
    </w:rPr>
  </w:style>
  <w:style w:type="character" w:customStyle="1" w:styleId="cf01">
    <w:name w:val="cf01"/>
    <w:basedOn w:val="DefaultParagraphFont"/>
    <w:rsid w:val="0041762F"/>
    <w:rPr>
      <w:rFonts w:ascii="Segoe UI" w:hAnsi="Segoe UI" w:cs="Segoe UI" w:hint="default"/>
      <w:sz w:val="18"/>
      <w:szCs w:val="18"/>
    </w:rPr>
  </w:style>
  <w:style w:type="paragraph" w:styleId="NormalWeb">
    <w:name w:val="Normal (Web)"/>
    <w:basedOn w:val="Normal"/>
    <w:uiPriority w:val="99"/>
    <w:semiHidden/>
    <w:unhideWhenUsed/>
    <w:rsid w:val="00BD19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1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91037">
      <w:bodyDiv w:val="1"/>
      <w:marLeft w:val="0"/>
      <w:marRight w:val="0"/>
      <w:marTop w:val="0"/>
      <w:marBottom w:val="0"/>
      <w:divBdr>
        <w:top w:val="none" w:sz="0" w:space="0" w:color="auto"/>
        <w:left w:val="none" w:sz="0" w:space="0" w:color="auto"/>
        <w:bottom w:val="none" w:sz="0" w:space="0" w:color="auto"/>
        <w:right w:val="none" w:sz="0" w:space="0" w:color="auto"/>
      </w:divBdr>
    </w:div>
    <w:div w:id="761992524">
      <w:bodyDiv w:val="1"/>
      <w:marLeft w:val="0"/>
      <w:marRight w:val="0"/>
      <w:marTop w:val="0"/>
      <w:marBottom w:val="0"/>
      <w:divBdr>
        <w:top w:val="none" w:sz="0" w:space="0" w:color="auto"/>
        <w:left w:val="none" w:sz="0" w:space="0" w:color="auto"/>
        <w:bottom w:val="none" w:sz="0" w:space="0" w:color="auto"/>
        <w:right w:val="none" w:sz="0" w:space="0" w:color="auto"/>
      </w:divBdr>
    </w:div>
    <w:div w:id="20498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saaz.gov/residents/community-development/repair-my-home" TargetMode="External"/></Relationships>
</file>

<file path=word/_rels/footer1.xml.rels><?xml version="1.0" encoding="UTF-8" standalone="yes"?>
<Relationships xmlns="http://schemas.openxmlformats.org/package/2006/relationships"><Relationship Id="rId3" Type="http://schemas.openxmlformats.org/officeDocument/2006/relationships/image" Target="http://www.hud.gov/images/fheo400.gif" TargetMode="External"/><Relationship Id="rId2" Type="http://schemas.openxmlformats.org/officeDocument/2006/relationships/image" Target="media/image3.gi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http://www.hud.gov/images/fheo400.gif" TargetMode="External"/><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3005-ACBE-4BFC-B018-E45DFCC9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1971</Words>
  <Characters>11235</Characters>
  <Application>Microsoft Office Word</Application>
  <DocSecurity>0</DocSecurity>
  <PresentationFormat>15|.DOCX</PresentationFormat>
  <Lines>93</Lines>
  <Paragraphs>26</Paragraphs>
  <ScaleCrop>false</ScaleCrop>
  <HeadingPairs>
    <vt:vector size="2" baseType="variant">
      <vt:variant>
        <vt:lpstr>Title</vt:lpstr>
      </vt:variant>
      <vt:variant>
        <vt:i4>1</vt:i4>
      </vt:variant>
    </vt:vector>
  </HeadingPairs>
  <TitlesOfParts>
    <vt:vector size="1" baseType="lpstr">
      <vt:lpstr>Emergency Rehab Guidelines 2.28.24 version (00514384).DOCX</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Rehab Guidelines 2.28.24 version (00514384).DOCX</dc:title>
  <dc:subject>00514384.1</dc:subject>
  <dc:creator>Lauren Lowe</dc:creator>
  <cp:keywords/>
  <dc:description/>
  <cp:lastModifiedBy>Justin Boyd</cp:lastModifiedBy>
  <cp:revision>2</cp:revision>
  <cp:lastPrinted>2024-03-25T22:46:00Z</cp:lastPrinted>
  <dcterms:created xsi:type="dcterms:W3CDTF">2025-07-24T21:12:00Z</dcterms:created>
  <dcterms:modified xsi:type="dcterms:W3CDTF">2025-07-24T21:12:00Z</dcterms:modified>
</cp:coreProperties>
</file>